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C-3962/2010 vom 22. Februar 2011</w:t>
      </w:r>
    </w:p>
    <w:p>
      <w:r>
        <w:t>Bundesverwaltungsgericht, 2011-02-22, FR</w:t>
      </w:r>
    </w:p>
    <w:p>
      <w:r>
        <w:rPr>
          <w:b/>
        </w:rPr>
        <w:t xml:space="preserve">Quelle: </w:t>
      </w:r>
      <w:r>
        <w:t>https://mcp.opencaselaw.ch/entscheid/bvger_C-3962_2010</w:t>
      </w:r>
    </w:p>
    <w:p>
      <w:r>
        <w:t>FR: TAF C-3962/2010 du 22 février 2011</w:t>
      </w:r>
    </w:p>
    <w:p>
      <w:r>
        <w:t>IT: TAF C-3962/2010 del 22 febbraio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En l'occurrence, l'intéressé a fait l'objet d'une décision de renvoi immédiatement exécutoire tombant sous le coup de l'actuel art. 64d al. 2 let. b LEtr (cf. décision du SPM-VS du 30 avril 2010). Toutefois, le nouvel art. 67 al. 1 let. a LEtr, ne saurait être appliqué en l'espèce, dans la mesure où il entraînerait une rétroactivité proprement dite prohibée. Cela étant, il convient encore d'examiner dans le cas d'espèce si les éléments de fait pris en compte par l'ODM tombent sous le coup de la nouvelle disposition correspondante sans que l'application de cette dernière soit prohibée par le principe de non-rétroactivité. Dans ce contexte, il y a lieu de tenir compte de la nouvelle limite fixée à 5 ans pour la durée maximale de l'interdiction d'entrée, sauf menace grave pour la sécurité et l'ordre publics (cf. art. 67 al. 3 LEtr). La décision querellée, compte tenu des faits reprochés au recourant, est fondée sur l'ancien art. 67 al. 1 let. a, b et d LEtr, qui correspond à l'alinéa 2 du nouvel art. 67 LEtr. Par ailleurs, la durée de la mesure prononcée le 30 avril 2010 est inférieure à cinq ans, de sorte que l'application du nouveau droit à ces éléments de fait ne pose aucun problème de rétroactivité proprement dite.</w:t>
      </w:r>
    </w:p>
    <w:p>
      <w:r>
        <w:rPr>
          <w:b/>
        </w:rPr>
        <w:t>E. 4.2</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en Suisse d'un étranger dont le séjour en Suisse est indésirable. Elle n'est pas considérée comme une peine sanctionnant un comportement déterminé, mais une mesure ayant pour but de prévenir une atteinte à la sécurité et à l'ordre publics.</w:t>
      </w:r>
    </w:p>
    <w:p>
      <w:r>
        <w:rPr>
          <w:b/>
        </w:rPr>
        <w:t>E. 4.4</w:t>
      </w:r>
    </w:p>
    <w:p>
      <w:r>
        <w:t>En application de l'art. 81 OASA, les autorités cantonales peuvent déposer une demande auprès de l'ODM afin qu'il ordonne une interdiction d'entrée.</w:t>
      </w:r>
    </w:p>
    <w:p>
      <w:r>
        <w:rPr>
          <w:b/>
        </w:rPr>
        <w:t>E. 4.5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w:t>
      </w:r>
    </w:p>
    <w:p>
      <w:r>
        <w:rPr>
          <w:b/>
        </w:rPr>
        <w:t>E. 5</w:t>
      </w:r>
    </w:p>
    <w:p>
      <w:r>
        <w:t>En l'occurrence, l'ODM a prononcé à l'encontre de X._______ une décision d'interdiction d'entrée fondée sur l'ancien art. 67 al. 1 let. a LEtr ( qui correspond au nouvel art. 67 al. 2 let. a LEtr entré en vigueur le 1er janvier 2011), estimant que le recourant avait porté atteinte, notamment pour entrée et séjour illégaux, à la sécurité et l'ordre publics. En outre, l'autorité intimée a aussi fondé sa décision sur l'ancien art. 67 al. 1 let. b (étranger ayant occasionné des coûts en matière d'aide sociale; actuellement art. 67 al. 2 let. b LEtr) et let. d LEtr (étranger placé en détention en vue de l'exécution du renvoi; actuellement art. 67 al. 2 let. c LEtr). Pour des raisons de commodité, le Tribunal ne fera plus que mention du nouvel art. 67 LEtr.</w:t>
      </w:r>
    </w:p>
    <w:p>
      <w:r>
        <w:rPr>
          <w:b/>
        </w:rPr>
        <w:t>E. 5.1</w:t>
      </w:r>
    </w:p>
    <w:p>
      <w:r>
        <w:t>Force est de constater que X._______ a volontairement violé les prescriptions légales en séjournant et en travaillant sans autorisation idoine en Suisse pendant les mois de mars et avril 2010. Entendu par les autorités valaisannes à ce sujet (cf. p.-v. du 30 avril 2010), l'intéressé a reconnu les faits. Il convient de rappeler que tout étranger est censé s'occuper personnellement du règlement de sa situation et qu'il ne saurait prendre un emploi sans avoir obtenu préalablement l'autorisation qui lui en confère le droit (cf. art. 11 al. 1 LEtr). Il est à noter à ce propos que le formulaire de demande d'autorisation signé le 2 mars 2010 par le recourant et son employeur mettait en exergue cette dernière condition. C'est le lieu de relever aussi que les personnes originaires de Macédoine désireuses d'exercer une activité lucrative demeurent soumises à l'obligation du visa (cf. Annexe 1, liste 1 des prescriptions de l'ODM en matière de documents de voyage et de visas selon la nationalité [version du 1er février 2011], en ligne sur son site &gt; Documentation &gt; Bases légales &gt; Directives et commentaires &gt; Visas, consulté le 1er février 2011). Dès lors, nonobstant les explications de l'intéressé dans son recours (cf. p. 3), l'autorité de céans ne peut que constater que le prénommé, en séjournant et en travaillant en Suisse sans autorisation idoine, a bien commis des infractions qui peuvent faire l'objet de sanctions pénales (cf. art. 115 al. 1 let. b et c LEtr.). Aussi, le Tribunal estime que le recourant représente un danger pour la sécurité et l'ordre publics (au sens précisé dans le consid. 4.3), de sorte qu'il se justifie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 C'est dès lors à raison que l'autorité intimée a estimé que X._______ avait attenté à la sécurité et à l'ordre publics.</w:t>
      </w:r>
    </w:p>
    <w:p>
      <w:r>
        <w:rPr>
          <w:b/>
        </w:rPr>
        <w:t>E. 5.2</w:t>
      </w:r>
    </w:p>
    <w:p>
      <w:r>
        <w:t>Il ressort aussi des pièces du dossier (cf. p.-v. du 30 avril 2010) que, lors de son interpellation à Monthey, le recourant était en possession d'une somme d'argent d'un montant de Fr. 37,50, alors même que selon ses déclarations (cf. p.-v. du 30 avril 2010), il avait reçu le 15 avril 2010 un montant de Fr. 3'000. -- pour le travail effectué jusqu'alors. Dans la mesure où l'intéressé ne disposait ni de moyens d'existence dûment autorisés lui assurant un revenu régulier en Suisse, ni d'un billet d'avion ou de train lui permettant de quitter ce pays par ses propres moyens, les frais de refoulement exécuté le 6 mai 2010 ont été pris en charge par les autorités compétentes. Certes, le recourant a fait valoir que son frère domicilié en Suisse était disposé à lui donner l'argent nécessaire pour rentrer dans sa patrie. Toutefois, dans le cadre de la présente procédure, l'intéressé n'a démontré ni avoir eu l'intention, ni avoir remboursé les frais du voyage de retour. Dès lors, la condition fixée par l'art. 67 al. 2 let. b est aussi remplie en l'espèce.</w:t>
      </w:r>
    </w:p>
    <w:p>
      <w:r>
        <w:rPr>
          <w:b/>
        </w:rPr>
        <w:t>E. 5.3</w:t>
      </w:r>
    </w:p>
    <w:p>
      <w:r>
        <w:t>Enfin, il est à noter que le 30 avril 2010, le SPM-VS a prononcé le refoulement immédiat à la frontière de l'intéressé, ainsi que sa mise en détention en vue de l'exécution du refoulement, en estimant que des indices sérieux laissaient à penser que X._______ entendait se soustraire à son obligation de quitter la Suisse. Le prénommé n'a du reste pas formellement sollicité l'examen de la légalité de sa mise en détention en ce sens qu'il a renoncé à la procédure orale prévue à l'art. 80 al. 2 LEtr. Le Tribunal de céans n'a pas la compétence pour remettre en cause le bien fondé de ces décisions et en prend acte. Aussi, force est de constater que le recourant a fait l'objet d'une mesure de contrainte en vue de l'exécution de son renvoi de Suisse et que, de ce fait, la condition fixée par l'art. 67 al. 2 let. d est aussi remplie.</w:t>
      </w:r>
    </w:p>
    <w:p>
      <w:r>
        <w:rPr>
          <w:b/>
        </w:rPr>
        <w:t>E. 6</w:t>
      </w:r>
    </w:p>
    <w:p>
      <w:r>
        <w:t>Dans son recours, l'intéressé s'est prévalu implicitement de l'art. 8 de la Convention du 4 novembre 1950 de sauvegarde des droits de l'homme et des libertés fondamentales (CEDH, RS 0.101), en déclarant que la mesure d'éloignement prononcée à son encontre l'empêcherait de rendre visite à sa parenté notamment domiciliée en Suisse (frère, cousins, oncle et tante). De même, il a aussi invoqué le fait que son épouse entendait venir étudier à l'Université de Lausanne et qu'il ne pourrait donc lui rendre visite en ce pays.</w:t>
      </w:r>
    </w:p>
    <w:p>
      <w:r>
        <w:rPr>
          <w:b/>
        </w:rPr>
        <w:t>E. 6.1</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p. 145s.; 131 II 265 consid. 5, p. 269; 130 II 281 consid. 3.1, p. 285; Wurzburger, op. cit. ,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de la Constitution fédérale de la Confédération suisse du 18 avril 1999 (Cst.; RS 101) garantit la même protection (ATF 129 II 215 consid. 4.2, pp. 218/219).</w:t>
      </w:r>
    </w:p>
    <w:p>
      <w:r>
        <w:rPr>
          <w:b/>
        </w:rPr>
        <w:t>E. 6.2</w:t>
      </w:r>
    </w:p>
    <w:p>
      <w:r>
        <w:t>En premier lieu, le recourant n'a pas démontré que son épouse a obtenu une autorisation de séjour délivrée par les autorités cantonales compétentes lui permettant d'entamer des études à l'Université de Lausanne. En outre, à supposer qu'une telle autorisation ait été délivrée, il est à noter que l'épouse de l'intéressé ne jouit pas d'un droit de résidence durable en Suisse au sens de la jurisprudence précitée, compte tenu du fait que l'autorisation sollicitée est limitée à la durée des études. Dès lors, l'intéressé ne saurait se prévaloir de la protection accordée par l'art. 8 CEDH pour s'opposer à une éventuelle séparation d'avec son épouse si cette dernière devait séjourner en Suisse pour études.</w:t>
      </w:r>
    </w:p>
    <w:p>
      <w:r>
        <w:rPr>
          <w:b/>
        </w:rPr>
        <w:t>E. 6.3</w:t>
      </w:r>
    </w:p>
    <w:p>
      <w:r>
        <w:t>Par ailleurs, il est à noter que l'art. 8 CEDH ne protège les relations familiales existant au sein d'une fratrie que s'il existe un lien de dépendance avec la personne ayant un droit de présence en Suisse, par exemple en cas de handicaps ou de maladie grave (cf. ATF 120 Ib 257, consid. 1d et 1e). Dans la mesure où l'intéressé n'a pas allégué, ni démontré qu'il se trouvait dans un lien de dépendance avec les membres de sa famille domiciliés en Suisse, notamment en raison d'un état de santé gravement altéré, les conditions d'application de l'article précité ne sont pas réalisées. Au demeurant, le recourant a la possibilité de rencontrer les membres de sa famille en dehors de la Suisse.</w:t>
      </w:r>
    </w:p>
    <w:p>
      <w:r>
        <w:rPr>
          <w:b/>
        </w:rPr>
        <w:t>E. 6.4</w:t>
      </w:r>
    </w:p>
    <w:p>
      <w:r>
        <w:t>Vu ce qui précède, force est de constater que la décision querellée ne viole pas l'art. 8 CEDH et que le recourant ne peut en tirer aucun droit pour s'opposer à la mesure d'éloignement prononcée à son encontre.</w:t>
      </w:r>
    </w:p>
    <w:p>
      <w:r>
        <w:rPr>
          <w:b/>
        </w:rPr>
        <w:t>E. 7</w:t>
      </w:r>
    </w:p>
    <w:p>
      <w:r>
        <w:t>Il convient encore d'examiner si la mesure d'éloignement prise par l'ODM satisfait aux principes de la proportionnalité et de l'égalité de traitement.</w:t>
      </w:r>
    </w:p>
    <w:p>
      <w:r>
        <w:rPr>
          <w:b/>
        </w:rPr>
        <w:t>E. 7.1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C-2306/2008 du 13 octobre 2009 consid. 9 et références citées).</w:t>
      </w:r>
    </w:p>
    <w:p>
      <w:r>
        <w:rPr>
          <w:b/>
        </w:rPr>
        <w:t>E. 7.2</w:t>
      </w:r>
    </w:p>
    <w:p>
      <w:r>
        <w:t>L'interdiction d'entrée prononcée à l'endroit de X._______ est une mesure administrative de contrôle qui tend à le tenir éloigné de Suisse où il a commis des infractions aux prescriptions de police des étrangers. Il en va de l'intérêt de l'Etat à voir respectés l'ordre établi et la législation en vigueur (cf. arrêt du Tribunal de céans C-5479/2008 du 24 juillet 2009 consid. 6.2.2). Les infractions reprochées à l'intéressé revêtent une certaine gravité. Il convient en particulier de souligner que sans l'interpellation du 30 avril 2010, l'intéressé aurait vraisemblablement poursuivi son séjour et son activité lucrative sans autorisation en Suisse et ce bien que son employeur ait été informé de l'avis négatif du Service de l'emploi en date du 16 mars 2010. L'intérêt privé du recourant à pouvoir se déplacer librement en Suisse et dans l'Espace Schengen ne saurait, dans ces conditions, être considéré comme prépondérant par rapport à l'intérêt public à son éloignement. Au vu de l'ensemble des éléments objectifs et subjectifs de la cause, le Tribunal estime que l'interdiction d'entrée en Suisse prononcée par l'autorité inférieure, limitée dans le temps jusqu'au 29 avril 2013,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8</w:t>
      </w:r>
    </w:p>
    <w:p>
      <w:r>
        <w:t>Il ressort de ce qui précède que, par sa décision du 30 avril 2010,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