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C-3959/2010 vom 21. Januar 2011</w:t>
      </w:r>
    </w:p>
    <w:p>
      <w:r>
        <w:t>Bundesverwaltungsgericht, 2011-01-21, DE</w:t>
      </w:r>
    </w:p>
    <w:p>
      <w:r>
        <w:rPr>
          <w:b/>
        </w:rPr>
        <w:t xml:space="preserve">Quelle: </w:t>
      </w:r>
      <w:r>
        <w:t>https://mcp.opencaselaw.ch/entscheid/bvger_C-3959_2010</w:t>
      </w:r>
    </w:p>
    <w:p>
      <w:r>
        <w:t>FR: TAF C-3959/2010 du 21 janvier 2011</w:t>
      </w:r>
    </w:p>
    <w:p>
      <w:r>
        <w:t>IT: TAF C-3959/2010 del 21 gennaio 2011</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vom 7. Mai 2010 aufgehoben und die Sache zur ergänzenden Abklärung und Neubeurteilung im Sinne der Erwä­gun­gen an die Vorinstanz zurückgewiesen wird.</w:t>
      </w:r>
    </w:p>
    <w:p>
      <w:r>
        <w:rPr>
          <w:b/>
        </w:rPr>
        <w:t>E. 2</w:t>
      </w:r>
    </w:p>
    <w:p>
      <w:r>
        <w:t>Es werden keine Verfahrenskosten erhoben, und es wird keine Partei­entschädigung zugesprochen.</w:t>
      </w:r>
    </w:p>
    <w:p>
      <w:r>
        <w:rPr>
          <w:b/>
        </w:rPr>
        <w:t>E. 3</w:t>
      </w:r>
    </w:p>
    <w:p>
      <w:r>
        <w:t>Das Gesuch des Beschwerdeführers um Gewährung der unentgelt­lichen Rechtspflege wird als gegenstandslos abgeschrieben.</w:t>
      </w:r>
    </w:p>
    <w:p>
      <w:r>
        <w:rPr>
          <w:b/>
        </w:rPr>
        <w:t>E. 4</w:t>
      </w:r>
    </w:p>
    <w:p>
      <w:r>
        <w:t>Dieses Urteil geht an: - den Beschwerdeführer (Einschreiben mit Rückschein) - die Vorinstanz (Ref-Nr. ...)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