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C-3953/2012 vom 15. Januar 2013</w:t>
      </w:r>
    </w:p>
    <w:p>
      <w:r>
        <w:t>Bundesverwaltungsgericht, 2013-01-15, IT</w:t>
      </w:r>
    </w:p>
    <w:p>
      <w:r>
        <w:rPr>
          <w:b/>
        </w:rPr>
        <w:t xml:space="preserve">Quelle: </w:t>
      </w:r>
      <w:r>
        <w:t>https://mcp.opencaselaw.ch/entscheid/bvger_C-3953_2012</w:t>
      </w:r>
    </w:p>
    <w:p>
      <w:r>
        <w:t>FR: TAF C-3953/2012 du 15 janvier 2013</w:t>
      </w:r>
    </w:p>
    <w:p>
      <w:r>
        <w:t>IT: TAF C-3953/2012 del 15 gennaio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Relativamente al diritto applicabile deve essere ancora precisato che la presente procedura è retta dalla LAI nel suo tenore modificato il 18 marzo 2011 (6a revisione, primo pacchetto di misure), e in vigore dal 1° gennaio 2012 (RU 2011 5659; FF 2010 1603), ritenuto tuttavia il principio secondo il quale le norme applicabili sono quelle in vigore al momento in cui dei fatti giuridicamente rilevanti si sono verificati (ATF 130 V 445 consid. 1.2).</w:t>
      </w:r>
    </w:p>
    <w:p>
      <w:r>
        <w:rPr>
          <w:b/>
        </w:rPr>
        <w:t>E. 4</w:t>
      </w:r>
    </w:p>
    <w:p>
      <w:r>
        <w:t>La ricorrente contesta la validità materiale della decisione dell'UAIE, chiedendo che le sia riconosciuto il diritto ad une rendita intera d'invalidità oppure, a titolo subordinato, di grado inferiore.</w:t>
      </w:r>
    </w:p>
    <w:p>
      <w:r>
        <w:rPr>
          <w:b/>
        </w:rPr>
        <w:t>E. 5</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e art. 87 segg. OAI, Jurisprudence et pratique administrative [Pratique VSI] 1999 pag. 8, DTF 117 V 198). In concreto, la seconda decisione di rifiuto della domanda di rendita è stata emessa dall'UAIE il 5 agosto 2008, mentre la seconda, qui avversata, il 6 giugno 2012. Ne consegue che il periodo di rife­rimento per giudicare se è intervenuta una modifica rilevante del grado d'invalidità, è quello intercorrente tra queste due date.</w:t>
      </w:r>
    </w:p>
    <w:p>
      <w:r>
        <w:rPr>
          <w:b/>
        </w:rPr>
        <w:t>E. 6</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la ricorrente adempie la condizione della durata minima di contribuzione. Rimane ora da esaminare se sia invalida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Il diritto alla rendita, secondo l'art. 29 cpv. 1 LAI, nasce al più presto dopo sei mesi dalla data in cui l'assicurato ha rivendicato il diritto alle prestazioni conformemente all'art. 29 cpv. 1 LPGA.</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LAI e art. 8 cpv. 3 LPGA;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In concreto, dalla documentazione medica degli incarti relativi alle prime due domande di rendita, e dagli atti riguardanti la terza domanda di rendita, oggetto della presente procedura, tra i quali, in particolare, la perizia psichiatrica del dott. B._______, del 18 ottobre 2011 (doc. 18), come pure le prese di posizione del dott. C._______, medico dell'UAIE, del 10 novembre e 21 dicembre 2010, nonché del 29 maggio 2012 (doc. 20, 25 e 30), si evidenzia la diagnosi di sindrome da disadattamento accompagnata da reazione mista ansioso-depressiva, di esiti da frattura della mandibola (1991) e da isteroannessiectomia totale (1998), di cervicolombodiscoartrosi, d'ipertensione arteriosa, di diabete mellito di tipo II, di gonartrosi, di segni neuropatici, d'emicrania e di sindrome vertiginosa. Questa diagnosi è univoca agli atti e, inoltre, non è contestata dalla ricorrente, dimodoché questo Tribunale non ha nessun valido motivo per non adottarla.</w:t>
      </w:r>
    </w:p>
    <w:p>
      <w:r>
        <w:rPr>
          <w:b/>
        </w:rPr>
        <w:t>E. 10.1</w:t>
      </w:r>
    </w:p>
    <w:p>
      <w:r>
        <w:t>Rispetto alle conseguenze invalidanti delle affezioni diagnosticate, il dott. B._______ ha chiaramente formulato da un punto di vista prettamente psichiatrico, nel suo rapporto peritale, un'incapacità lavorativa del 25% per l'attività di casalinga, unica occupazione ad entrare concretamente in linea di conto, visto che la ricorrente non ha più esercitato alcuna attività lucrativa da aprile 2004. Lo specialista ha osservato che la ricorrente presenta tuttora una serie di sintomi della patologia psichiatrica, ma che, non trattandosi di una depressione essenziale, essi rappresentano una reazione ad una situazione ormai cronica, fondamentalmente non migliorabile, con prognosi poco favorevole, in particolare in relazione ad altre affezioni di cui soffre la ricorrente. Egli ha tuttavia messo in evidenza il fatto che, se seguita regolarmente e con un'assunzione conseguente di farmaci, la cura antidepressiva essendo attualmente sotto dosaggio, la ricorrente potrebbe migliorare la sua capacità lavorativa del 10 o 15%. Dal canto suo, il dott. C._______ ha confermato, nelle sue tre prese di posizione, un'incapacità lavorativa del 25% per qualsiasi occupazione (ultima attività, altre attività confacenti e attività di casalinga), almeno a decorrere dal 2008, ma verosimilmente già dal 1998, ossia dall'intervento d'isterectomia. All'incarto non vi sono altri documenti medici che inducano a dubitare della fondatezza di queste conclusioni, in particolare, quelli esibiti dalla ricorrente non riferiscono eventuali influssi negativi delle affezioni diagnosticate sulla capacità a svolgere le mansioni domestiche.</w:t>
      </w:r>
    </w:p>
    <w:p>
      <w:r>
        <w:rPr>
          <w:b/>
        </w:rPr>
        <w:t>E. 10.2</w:t>
      </w:r>
    </w:p>
    <w:p>
      <w:r>
        <w:t>Visto quanto precede, questo Tribunale non può che constatare, seguendo il parere senza equivoci dei dottori B._______ e C._______, che la ricorrente non ha reso verosimile che il suo grado d'invalidità si sarebbe modificato in misura rilevante per il suo diritto a prestazioni assicurative (art. 87 cpv. 2 e 3 OAI), ed è quindi a giusto titolo che l'UAIE ha respinto la sua terza domanda di rendita.</w:t>
      </w:r>
    </w:p>
    <w:p>
      <w:r>
        <w:rPr>
          <w:b/>
        </w:rPr>
        <w:t>E. 11</w:t>
      </w:r>
    </w:p>
    <w:p>
      <w:r>
        <w:t>Di conseguenza, il ricorso deve essere respinto e la decisione impugnata confermata.</w:t>
      </w:r>
    </w:p>
    <w:p>
      <w:r>
        <w:rPr>
          <w:b/>
        </w:rPr>
        <w:t>E. 12</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13</w:t>
      </w:r>
    </w:p>
    <w:p>
      <w:r>
        <w:t>Secondo l'art. 63 cpv. 1 PA, le spese processuali sono di regola messe a carico della parte soccombente. In concreto, visto l'esito della procedura, le spese processuali di Fr. 400.- sono poste a carico della ricorrente e compensate con l'anticipo dello stesso ammontare, versato il 26 novembre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