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C-3950/2014 vom 17. März 2015</w:t>
      </w:r>
    </w:p>
    <w:p>
      <w:r>
        <w:t>Bundesverwaltungsgericht, 2015-03-17, DE</w:t>
      </w:r>
    </w:p>
    <w:p>
      <w:r>
        <w:rPr>
          <w:b/>
        </w:rPr>
        <w:t xml:space="preserve">Quelle: </w:t>
      </w:r>
      <w:r>
        <w:t>https://mcp.opencaselaw.ch/entscheid/bvger_C-3950_2014</w:t>
      </w:r>
    </w:p>
    <w:p>
      <w:r>
        <w:t>FR: TAF C-3950/2014 du 17 mars 2015</w:t>
      </w:r>
    </w:p>
    <w:p>
      <w:r>
        <w:t>IT: TAF C-3950/2014 del 17 marzo 2015</w:t>
      </w:r>
    </w:p>
    <w:p>
      <w:pPr>
        <w:pStyle w:val="Heading2"/>
      </w:pPr>
      <w:r>
        <w:t>Regeste</w:t>
      </w:r>
    </w:p>
    <w:p>
      <w:r>
        <w:t>Schengen-Visum</w:t>
      </w:r>
    </w:p>
    <w:p>
      <w:pPr>
        <w:pStyle w:val="Heading2"/>
      </w:pPr>
      <w:r>
        <w:t>Erwägungen</w:t>
      </w:r>
    </w:p>
    <w:p>
      <w:r>
        <w:rPr>
          <w:b/>
        </w:rPr>
        <w:t>E. 1.1</w:t>
      </w:r>
    </w:p>
    <w:p>
      <w:r>
        <w:t>Gemäss Art. 31 des VGG beurteilt das Bundesverwaltungsgericht - unter Vorbehalt der in Art. 32 VGG genannten Ausnahmen - Beschwerden gegen Verfügungen nach Art. 5 des VwVG, die von einer in Art. 33 VGG aufgeführten Behörde erlassen wurden. Darunter fallen u.a. Verfügungen des SEM, mit denen die Erteilung einer Einreisebewilligung verweigert wird.</w:t>
      </w:r>
    </w:p>
    <w:p>
      <w:r>
        <w:rPr>
          <w:b/>
        </w:rPr>
        <w:t>E. 1.2</w:t>
      </w:r>
    </w:p>
    <w:p>
      <w:r>
        <w:t>Sofern das VGG nichts anderes bestimmt, richtet sich das Verfahren vor dem Bundesverwaltungsgericht nach dem VwVG (vgl. Art. 37 VGG).</w:t>
      </w:r>
    </w:p>
    <w:p>
      <w:r>
        <w:rPr>
          <w:b/>
        </w:rPr>
        <w:t>E. 1.3</w:t>
      </w:r>
    </w:p>
    <w:p>
      <w:r>
        <w:t>Der Beschwerdeführer ist als Verfügungsadressat gemäss Art. 48 Abs. 1 VwVG zur Beschwerde legitimiert. Auf die im Übrigen frist- und formgerecht eingereichte Beschwerde ist einzutreten (vgl. Art. 50 und 52 VwVG).</w:t>
      </w:r>
    </w:p>
    <w:p>
      <w:r>
        <w:rPr>
          <w:b/>
        </w:rPr>
        <w:t>E. 1.4</w:t>
      </w:r>
    </w:p>
    <w:p>
      <w:r>
        <w:t>In der vorliegenden Angelegenheit entscheidet das Bundesverwaltungsgericht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 H.).</w:t>
      </w:r>
    </w:p>
    <w:p>
      <w:r>
        <w:rPr>
          <w:b/>
        </w:rPr>
        <w:t>E. 3</w:t>
      </w:r>
    </w:p>
    <w:p>
      <w:r>
        <w:t>Soweit der Beschwerdeführer implizit eine Verletzung des Anspruchs auf rechtliches Gehör rügt (vgl. Art. 29 Abs. 2 BV und Art. 29 ff. VwVG), ist darauf hinzuweisen, dass in diesem Fall die Voraussetzungen für eine diesbezügliche Heilung der Verletzung gegeben wären (vgl. zur Begründungspflicht BVGE 2007/27 E. 5.5.2; zum Anspruch und zur Heilungsmöglichkeit BVGE 2009/36 E. 7)</w:t>
      </w:r>
    </w:p>
    <w:p>
      <w:r>
        <w:rPr>
          <w:b/>
        </w:rPr>
        <w:t>E. 4</w:t>
      </w:r>
    </w:p>
    <w:p>
      <w:r>
        <w:t>Der angefochtenen Verfügung liegt das Gesuch eines kubanischen Staatsangehörigen um Erteilung eines Visums für einen 30-tägigen Aufenthalt in der Schweiz zugrunde. Da sich der Gesuchsteller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2-5 AuG).</w:t>
      </w:r>
    </w:p>
    <w:p>
      <w:r>
        <w:rPr>
          <w:b/>
        </w:rPr>
        <w:t>E. 5.1</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w:t>
      </w:r>
    </w:p>
    <w:p>
      <w:r>
        <w:rPr>
          <w:b/>
        </w:rPr>
        <w:t>E. 5.2</w:t>
      </w:r>
    </w:p>
    <w:p>
      <w:r>
        <w:t>Angehörige von Staaten, die nicht Teil des Schengen-Raumes sind (sog.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Visumserteilung [VEV, SR 142.204] i.V.m. Art. 5 Abs. 1 Bst. a und b der Verordnung [EG] Nr. 562/2006 des Europäischen Parlaments und des Rates vom 15. März 2006 über einen Gemeinschaftskodex für das Überschreiten der Grenzen durch Personen [nachfolgend: Schengener Grenzkodex bzw. SGK], ABl. L 105/1 vom 13.04.2006;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5.3</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bieten (Art. 14 Abs. 1 Bst. c und Art. 21 Abs. 1 Visakodex sowie Art. 5 Abs. 2 AuG).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Bst. e SGK).</w:t>
      </w:r>
    </w:p>
    <w:p>
      <w:r>
        <w:rPr>
          <w:b/>
        </w:rPr>
        <w:t>E. 5.4</w:t>
      </w:r>
    </w:p>
    <w:p>
      <w:r>
        <w:t>Sind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5.5</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Kuba in dieser Liste aufgeführt ist, unterliegt der Gesuchsteller der Visumspflicht.</w:t>
      </w:r>
    </w:p>
    <w:p>
      <w:r>
        <w:rPr>
          <w:b/>
        </w:rPr>
        <w:t>E. 6</w:t>
      </w:r>
    </w:p>
    <w:p>
      <w:r>
        <w:t>Die Vorinstanz begründet die Abweisung der Einsprache im Wesentlichen damit, dass die Wiederausreise des Gesuchstellers nicht gewährleistet sei. Bei der Beurteilung des Kriteriums der gesicherten Wiederausreise muss ein zukünftiges Verhalten beurteilt werden. Hierzu sind lediglich Prognosen möglich, wobei jedoch sämtliche Umstände des konkreten Einzelfalles zu würdigen sind. Dabei sind einerseits die allgemeine Lage im Herkunftsland und andererseits die individuelle Situation der gesuchstellenden Person in die Beurteilung mit einzubeziehen.</w:t>
      </w:r>
    </w:p>
    <w:p>
      <w:r>
        <w:rPr>
          <w:b/>
        </w:rPr>
        <w:t>E. 6.1</w:t>
      </w:r>
    </w:p>
    <w:p>
      <w:r>
        <w:t>Das Wirtschaftssystem Kubas befindet sich im Umbruch. Seine Grundlage bildet eine sozialistisch und planwirtschaftlich geprägte Ideologie, in der der Staat eine zentrale Rolle spielt (vgl. www.auswaertiges-amt.de, Aussen- und Europapolitik, Länderinformationen: Länder A - Z, Kuba, Wirtschaft, Stand November 2014, besucht im März 2015). Das Land leidet unter einem grossen Defizit in den Bereichen Infrastruktur, Industrie sowie Landwirtschaft und ist gezwungen, einen Grossteil der Lebensmittel zu importieren (siehe www.nzz.ch/wirtschaft/wirtschafts- und-finanzportal/kubas-halbherzige-wirtschaftsreformen-1.18233538, besucht im März 2015). Seit 2010 hat die Regierung zahlreiche Reformschritte eingeleitet, wozu beispielsweise Freiräume für selbständige Erwerbstätigkeit gehören (vgl. www.auswaertiges-amt.de, Aussen- und Europapolitik, Länderinformationen: Länder A - Z, Kuba, Wirtschaft, Stand November 2014, besucht im März 2015). Diese Reformschritte haben bis jetzt jedoch keine merkliche Verbesserung der Lebensbedingungen der Bevölkerung bewirkt. Nach wie vor ist das monatliche Durchschnittseinkommen, auch unter Berücksichtigung, dass immer noch Grundnahrungsmittel, Strom und Gas subventioniert werden und die Inanspruchnahme des Gesundheits- und des Bildungswesens kostenlos ist, sehr gering (2012: knapp 20 USD) (siehe Urteil des BVGer C-6305/2011 vom 10. April 2013 E. 7.1.1). Rund die Hälfte der Einwohner ist beim Staat angestellt. Die Selbständigenquote ist trotz der Aufhebung vieler bestehender Verbote noch immer sehr gering (vgl. www.auswaertiges-amt.de, Aussen- und Europapolitik, Länderinformationen: Länder A - Z, Kuba, Wirtschaft, Stand November 2014, besucht im März 2015). Der Lebensstandard der Kubaner bestimmt sich ferner durch den Zugang zur konvertiblen Währung (CUC), sei es durch Überweisungen aus dem Ausland oder durch eine Beschäftigung im Tourismussektor (siehe Urteil des BVGer C-6305/2011 vom 10. April 2013 E. 7.1.1).</w:t>
      </w:r>
    </w:p>
    <w:p>
      <w:r>
        <w:rPr>
          <w:b/>
        </w:rPr>
        <w:t>E. 6.2</w:t>
      </w:r>
    </w:p>
    <w:p>
      <w:r>
        <w:t>Bei der Betrachtung der allgemeinen Lage sind auch die Erfahrungen mit der Emigration zu berücksichtigen. So kämpft Kuba seit Jahren mit der Abwanderung seiner Bevölkerung (http://www.sueddeutsche.de/politik/illegale-auswanderung-kuba-will-fluechtlingen-heimkehr-erlauben-1.1505759, besucht im März 2015). Zwar begeben sich die meisten Personen in die Vereinigten Staaten, wo sich mittlerweile eine bedeutende Diaspora befindet. Die Erfahrung zeigt aber, dass ein bereits bestehendes (familiäres) Beziehungsnetz in einem anderen Land auch eine Emigration dorthin begünstigt. Wie sich die seit dem 14. Januar 2013 geltenden Reiseerleichterungen für kubanische Staatsangehörige auf die Auswanderungsbewegung auswirken werden, bleibt abzuwarten und kann deshalb zum jetzigen Zeitpunkt nur bedingt in die Beurteilung des allgemeinen Migrationsrisikos mit einbezogen werden.</w:t>
      </w:r>
    </w:p>
    <w:p>
      <w:r>
        <w:rPr>
          <w:b/>
        </w:rPr>
        <w:t>E. 6.3</w:t>
      </w:r>
    </w:p>
    <w:p>
      <w:r>
        <w:t>In Bezug auf die Einschätzung des Migrationsrisikos ist bei kubanischen Staatsangehörigen eine Eigenheit des kubanischen Rechts zu berücksichtigen: Hält sich ein kubanischer Staatsangehöriger länger im Ausland auf als im Ausreisevisum vorgesehen (eine Verlängerung bis zu einer Abwesenheit von insgesamt 11 Monaten kann von den kubanischen Vertretungen im Ausland vorgenommen werden [vgl. Urteil des BVGer D-1837/2012 vom 28. Februar 2013 E. 9.3]), so wird ihm in vielen Fällen die Wiedereinreise nach Kuba verwehrt (vgl. MICHAEL KIRSCHNER, Kuba: Legale und illegale Aus- und Einreise, Schweizerische Flüchtlingshilfe, Bern 2006 sowie JUDITH MACCHI, Kuba: Rückkehr, Schweizerische Flüchtlingshilfe, Bern 2009 und http://www.fluechtlingshilfe.ch/assets/herkunftslaender/amerika/kuba/kuba-ablauf-des-permiso-de-residencia-en-el-exterior.pdf, abgerufen im März 2015). Es versteht sich von selbst und bedarf keiner weiteren Erläuterung, dass solche restriktiven Normen Emigrationswillige - einmal im Ausland - dazu verleiten können, die Verpflichtung zur Wiederausreise so lange hinauszuzögern, bis sie von den Behörden des Aufenthaltsstaates zwangsweise nicht mehr durchgesetzt werden kann.</w:t>
      </w:r>
    </w:p>
    <w:p>
      <w:r>
        <w:rPr>
          <w:b/>
        </w:rPr>
        <w:t>E. 6.4</w:t>
      </w:r>
    </w:p>
    <w:p>
      <w:r>
        <w:t>Angesichts der geschilderten Umstände ist nicht zu beanstanden, dass die Vorinstanz das Risiko einer nicht fristgerechten Wiederausreise von Besuchern aus Kuba allgemein als hoch einschätzt.</w:t>
      </w:r>
    </w:p>
    <w:p>
      <w:r>
        <w:rPr>
          <w:b/>
        </w:rPr>
        <w:t>E. 7.1</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7.2</w:t>
      </w:r>
    </w:p>
    <w:p>
      <w:r>
        <w:t>Beim Gesuchsteller handelt es sich um einen heute 26-Jährigen, ledigen Mann. Er ist seit 2007 als "Técnico Medio en Informática" (Informatiktechniker) beim "Z._______" unbefristet angestellt und verdient monatlich 475 CUP (umgerechnet ca. CHF 19.90). Die Arbeitgeberin hat im Schreiben vom 14. Januar 2014 bestätigt, dass keine Einwände gegen einen Ferienaufenthalt in der Schweiz bestünden. In Kuba leben ausserdem die Eltern des Gesuchstellers, sowie seine Schwester mit ihrer Familie. Der Gesuchsteller sei ursprünglich mit dem Gastgeber in Brasilien gemeinsam gereist, wonach sie sich drei weitere Male für jeweils 1-2 Wochen in Kuba und Brasilien getroffen hätten. Sie pflegten eine partnerschaftliche Beziehung und der Gesuchsteller möchte nun das Land des Gastgebers sowie dessen Freunde und Familie kennenlernen.</w:t>
      </w:r>
    </w:p>
    <w:p>
      <w:r>
        <w:rPr>
          <w:b/>
        </w:rPr>
        <w:t>E. 7.3</w:t>
      </w:r>
    </w:p>
    <w:p>
      <w:r>
        <w:t>Der Beschwerdeführer hebt hervor, dass die Erwerbstätigkeit sowie die familiären Bindungen des Gesuchstellers in Kuba deutlich gegen ein Migrationsrisiko sprächen. Nach eigenen Angaben arbeiten die Eltern des Eingeladenen im medizinischen Bereich (der Vater sei Arzt), in welchem sie sehr renommiert seien. Der Gesuchsteller hätte in der Schweiz keinerlei berufliche Perspektiven, welche ihm ein vergleichbares Ansehen und Einkommen verschaffen würden. Die Erfahrung zeigt jedoch, dass aufgrund des grossen Lohngefälles zwischen der Schweiz und Staaten wie Kuba selbst ein für einheimische Verhältnisse gutes Salär (der Gesuchsteller verdient einen in Kuba durchschnittlichen Lohn [vgl. E. 6.1]) und ein hohes Ansehen nicht nachhaltig davon abhalten können, das Heimatland dauerhaft zu verlassen. Vor diesem Hintergrund ist der Vorinstanz zuzustimmen, dass dem Gesuchsteller keine zwingenden beruflichen Verpflichtungen obliegen. Familiäre Bindungen wie Eltern und Geschwister indizieren durchaus einen gewissen Rückkehrwillen, eine ernsthafte Verpflichtung lässt sich jedoch daraus nicht ableiten, da keiner der Familienangehörigen zum Gesuchsteller in einem Abhängigkeitsverhältnis steht, was er denn auch nicht geltend macht.</w:t>
      </w:r>
    </w:p>
    <w:p>
      <w:r>
        <w:rPr>
          <w:b/>
        </w:rPr>
        <w:t>E. 7.4</w:t>
      </w:r>
    </w:p>
    <w:p>
      <w:r>
        <w:t>Insgesamt betrachtet, sind somit weder in den familiären oder gesellschaftlichen noch beruflichen und damit wirtschaftlichen Verhältnissen des Gesuchstellers Be­sonderheiten erkennbar, die eine Emigration als unwahrscheinlich erachten lassen.</w:t>
      </w:r>
    </w:p>
    <w:p>
      <w:r>
        <w:rPr>
          <w:b/>
        </w:rPr>
        <w:t>E. 7.5</w:t>
      </w:r>
    </w:p>
    <w:p>
      <w:r>
        <w:t>Vor dem geschilderten Hintergrund ist das Risiko, dass der Gesuchsteller die Schweiz nach einem Besuchsaufenthalt nicht wieder rechtzeitig verlassen könnte, nicht zu unterschätzen. Daran vermögen auch die gegenteiligen Zusicherungen des Beschwerdeführers nichts zu ändern. Als Gastgeber kann er zwar für bestimmte finanzielle Risiken im Zusammenhang mit dem Besuchsaufenthalt, nicht aber für ein bestimmtes Tun oder Unterlassen seines Gastes rechtswirksam einstehen (vgl. BVGE 2009/27 E. 9 sowie Urteil des BVGer C-3216/2013 vom 28. Februar 2014 E. 7.5). Aus dem gleichen Grund kann auch nicht entscheidend sein, dass der Beschwerdeführer im Zusammenhang mit dem beabsichtigten Aufenthalt grossen Aufwand betrieben hat.</w:t>
      </w:r>
    </w:p>
    <w:p>
      <w:r>
        <w:rPr>
          <w:b/>
        </w:rPr>
        <w:t>E. 8</w:t>
      </w:r>
    </w:p>
    <w:p>
      <w:r>
        <w:t>Gründe für die Ausstellung eines Visums mit räumlich beschränkter Gültigkeit (vgl. E. 5.4) wurden vom Beschwerdeführer nicht geltend gemacht und ergeben sich auch sonst nicht aus den Akten.</w:t>
      </w:r>
    </w:p>
    <w:p>
      <w:r>
        <w:rPr>
          <w:b/>
        </w:rPr>
        <w:t>E. 9</w:t>
      </w:r>
    </w:p>
    <w:p>
      <w:r>
        <w:t>Aus den vorstehenden Erwägungen folgt, dass die angefochtene Verfügung im Lichte von Art. 49 VwVG nicht zu beanstanden ist. Die Beschwerde ist daher abzuweisen.</w:t>
      </w:r>
    </w:p>
    <w:p>
      <w:r>
        <w:rPr>
          <w:b/>
        </w:rPr>
        <w:t>E. 10</w:t>
      </w:r>
    </w:p>
    <w:p>
      <w:r>
        <w:t>Entsprechend dem Ausgang des Verfahrens sind die Kosten dem Beschwerdeführer aufzuerlegen (vgl. Art. 63 Abs. 1 VwVG i.V.m. Art. 1 ff. des Reglements vom 21. Februar 2008 über die Kosten und Entschädigungen vor dem Bundesverwaltungsgericht [VGKE, SR 173.320.2]).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