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C-394/2010 vom 6. November 2013</w:t>
      </w:r>
    </w:p>
    <w:p>
      <w:r>
        <w:t>Bundesverwaltungsgericht, 2013-11-06, DE</w:t>
      </w:r>
    </w:p>
    <w:p>
      <w:r>
        <w:rPr>
          <w:b/>
        </w:rPr>
        <w:t xml:space="preserve">Quelle: </w:t>
      </w:r>
      <w:r>
        <w:t>https://mcp.opencaselaw.ch/entscheid/bvger_C-394_2010</w:t>
      </w:r>
    </w:p>
    <w:p>
      <w:r>
        <w:t>FR: TAF C-394/2010 du 6 novembre 2013</w:t>
      </w:r>
    </w:p>
    <w:p>
      <w:r>
        <w:t>IT: TAF C-394/2010 del 6 novembre 2013</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Verfügungsadressat zur Beschwerde legitimiert (vgl. Art. 48 Abs. 1 VwVG). Auf die frist- und formgerecht eingereichte Beschwerde ist somit einzutreten (vgl. Art. 50 und Art.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BVGE 2011/43 E. 6.1).</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Dem vorliegenden Verfahren liegt das Gesuch des Beschwerdeführers vom 20. November 2008 zu Grunde, mit dem er um Erteilung einer Aufenthaltsbewilligung nach Auflösung der Ehe oder Familiengemeinschaft ersucht. Die Streitsache untersteht deshalb formell und materiell dem neuen Recht.</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w:t>
      </w:r>
    </w:p>
    <w:p>
      <w:r>
        <w:rPr>
          <w:b/>
        </w:rPr>
        <w:t>E. 4.2</w:t>
      </w:r>
    </w:p>
    <w:p>
      <w:r>
        <w:t>Die Notwendigkeit der Zustim­mung durch das BFM ergibt sich im Falle des Beschwerdeführers aus Art. 85 Abs. 1 Bst. a VZAE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 Nichts anderes galt im Übrigen bereits unter der Herrschaft des alten Rechts (vgl. statt vieler Urteil des Bundesverwaltungsgerichts C-6482/2008 vom 17. Oktober 2011 E. 3.2. mit Hinweis).</w:t>
      </w:r>
    </w:p>
    <w:p>
      <w:r>
        <w:rPr>
          <w:b/>
        </w:rPr>
        <w:t>E. 4.3</w:t>
      </w:r>
    </w:p>
    <w:p>
      <w:r>
        <w:t>Das BFM kann die Zustimmung verweigern, den kantonalen Entscheid einschränken oder mit Bedingungen verbinden (Art. 99 AuG, Art. 86 Abs. 1 VZAE). Es verweigert seine Zustimmung unter anderem dann, wenn die Zulassungsvoraussetzungen nicht oder nicht mehr erfüllt sind (Art. 86 Abs. 2 Bst. a und Bst. c Ziff. 2 VZAE).</w:t>
      </w:r>
    </w:p>
    <w:p>
      <w:r>
        <w:rPr>
          <w:b/>
        </w:rPr>
        <w:t>E. 5.1</w:t>
      </w:r>
    </w:p>
    <w:p>
      <w:r>
        <w:t>Ausländische Ehegatten von in der Schweiz niedergelassenen Ausländern haben unter Vorbehalt von Art. 51 Abs. 2 AuG einen Anspruch auf Erteilung und Verlängerung der Aufenthaltsbewilligung, wenn sie mit diesen zusammen wohnen (Art. 43 Abs. 1 AuG). Nach einem ordnungsgemässen und ununterbrochenen Aufenthalt von fünf Jahren erwerben sie einen Anspruch auf Erteilung der Niederlassungsbewilligung (Art. 43 Abs. 2 AuG), der vom weiteren Schicksal der Ehe unabhängig ist (vgl. Art. 34 Abs. 1 AuG; vgl. auch das Urteil des Bundesgerichts 2C_241/2009 vom 23. September 2009 E. 3, den ausländischen Ehepartner einer Schweizer Bürgerin betreffend). A fortiori verfügen sie über einen Anspruch auf Verlängerung der Aufenthaltsbewilligung. Wird die eheliche Haushaltgemeinschaft vor Ablauf dieser fünfjährigen Frist aufgegeben, besteht ein Anspruch auf Verlängerung der Aufenthaltsbewilligung weiter, wenn die Ehegatten mindestens drei Jahre in der Schweiz zusammen gewohnt haben (BGE 138 II 229 E. 2. mit Hinweisen) und eine erfolgreiche Integration besteht (Art. 50 Abs. 1 Bst. a AuG) oder wenn wichtige persönliche Gründe vorliegen, die einen weiteren Aufenthalt in der Schweiz erforderlich machen (Art. 50 Abs. 1 Bst. b AuG). Das kann namentlich dann der Fall sein, wenn der ausländische Ehegatte Opfer ehelicher Gewalt wurde und die soziale Wiedereingliederung im Herkunftsland stark gefährdet erscheint (Art. 50 Abs. 2 AuG). Die Ansprüche aus Art. 43 und Art. 50 AuG erlöschen, wenn sie rechtsmissbräuchlich geltend gemacht werden, namentlich um Vorschriften dieses Gesetzes und seiner Ausführungsbestimmungen über die Zulassung und den Aufenthalt zu umgehen (Art. 51 Abs. 2 Bst. a AuG).</w:t>
      </w:r>
    </w:p>
    <w:p>
      <w:r>
        <w:rPr>
          <w:b/>
        </w:rPr>
        <w:t>E. 5.2</w:t>
      </w:r>
    </w:p>
    <w:p>
      <w:r>
        <w:t>Vom Erfordernis des Zusammenlebens wird gemäss Art. 49 AuG abgesehen, wenn die Familiengemeinschaft weiter besteht und für ge­trennte Wohnorte wichtige Gründe vorliegen. Diese können sich nament­lich aus beruflichen Verpflichtungen ergeben oder bei vorübergehender Trennung wegen erheblicher familiärer Probleme (Art. 76 VZAE). Zu beachten ist, dass Art. 49 AuG nicht darauf abzielt, den Ehegatten ein längerfristiges oder gar dauerhaftes Getrenntleben in der Schweiz zu ermöglichen (Urteil des Bundesgerichts 2C_488/2010 vom 2. November 2010 E. 3.2). Art. 49 AuG trägt den Charakter einer Ausnahmebestim­mung, die in besonderen, nicht leichthin anzunehmenden Konstellationen von der grundsätzlichen Notwendigkeit des ehelichen Zusammenlebens befreit (Urteil des Bundesgerichts 2C_635/2009 vom 26. März 2010 E. 4.4). Allgemein lässt sich sagen, dass wichtige Gründe objektivierbar sein und eine gewisse Erheblichkeit aufweisen müssen. Sie werden umso eher anzunehmen sein, je weniger die Ehegatten auf die Situation des Getrenntlebens Einfluss nehmen können, ohne schwere Nachteile in Kauf nehmen zu müssen (siehe hierzu auch Urteil des Bundesverwaltungsgerichts C-6459/2010 vom 9. Januar 2013 E. 4.2 mit Hinweisen).</w:t>
      </w:r>
    </w:p>
    <w:p>
      <w:r>
        <w:rPr>
          <w:b/>
        </w:rPr>
        <w:t>E. 6.1</w:t>
      </w:r>
    </w:p>
    <w:p>
      <w:r>
        <w:t>Die Vorinstanz vertritt in der angefochtenen Verfügung die Auffassung, dass die eheliche Gemeinschaft sieben Monate gedauert habe. Nachdem die Ehegatten am 15. Januar 2003 geheiratet hätten, habe der Beschwerdeführer bereits im August 2003 ein eigenes Zimmer gemietet. Der Beschwerdeführer macht demgegenüber geltend, aufgrund des Lebenswandels seiner Ex-Ehefrau sei es für ihn aus beruflichen und psychischen Gründen nicht zumutbar gewesen, im selben Haushalt zu verbleiben. Sie hätten jedoch in getrennten Wohnungen eine gelebte Ehe geführt.</w:t>
      </w:r>
    </w:p>
    <w:p>
      <w:r>
        <w:rPr>
          <w:b/>
        </w:rPr>
        <w:t>E. 6.2</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3. aktualisierte Auflage, Zürich 2012, Art. 50 AuG N 4). Art. 49 AuG spricht diesbezüglich von wichtigen Gründen, die in der Botschaft zum Ausländergesetz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Caroni/Gächter/Thurnherr [Hrsg.], Stämpflis Handkommentar zum Bundesgesetz über die Ausländerinnen und Ausländer [AuG], Art. 49 N 24; Urteil des Bundesgerichts 2C_784/2010 vom 26. Mai 2011 E. 3.1.2). Hält im Falle erheblicher Eheprobleme das Getrenntleben an, so stellt sich die Frage, ob die Trennung als definitiv und die Familiengemeinschaft damit als aufgelöst zu betrachten ist (vgl. Spescha, a.a.O., Art. 49 AuG N 3).</w:t>
      </w:r>
    </w:p>
    <w:p>
      <w:r>
        <w:rPr>
          <w:b/>
        </w:rPr>
        <w:t>E. 6.3</w:t>
      </w:r>
    </w:p>
    <w:p>
      <w:r>
        <w:t>Wurde der gemeinsame Haushalt vor Ablauf von drei Jahren aufgehoben, so stellt sich die Frage, ob die eheliche Gemeinschaft trotzdem weiterhin Bestand hatte. Wie oben dargelegt (E. 5.2 und 6.2), kann dies bei Vorliegen wichtiger Gründe angenommen werden, u.a. auch bei einer vorübergehenden Trennung wegen erheblicher familiärer Probleme. Gegen die Annahme einer vorübergehenden Trennung spricht im vorliegenden Fall zwar der Umstand, dass die Haushaltsgemeinschaft gar nicht wieder aufgenommen und die Ehe schliesslich geschieden wurde; allerdings kann nicht ausgeschlossen werden, dass die Ehegatten womöglich zu Beginn ihrer Trennung noch mit der Lösung ihrer Probleme und der baldigen Wiederaufnahme des Zusammenlebens rechneten. Die blosse Behauptung der Ehegatten, die Wiedervereinigung angestrebt zu haben, reicht für eine entsprechende Annahme jedoch nicht aus. Vielmehr muss sich der fortbestehende Ehewille daran ablesen lassen, ob und welche Kontakte die Ehegatten weiterhin gepflegt und welche Anstrengungen sie zur Überwindung der gemeinsamen Schwierigkeiten unternommen haben (vgl. Spescha, a.a.O., Art. 49 AuG N 3).</w:t>
      </w:r>
    </w:p>
    <w:p>
      <w:r>
        <w:rPr>
          <w:b/>
        </w:rPr>
        <w:t>E. 7.1</w:t>
      </w:r>
    </w:p>
    <w:p>
      <w:r>
        <w:t>Der Beschwerdeführer reiste am 25. Februar 2002 in die Schweiz ein und heiratete seine in der Schweiz niederlassungsberechtigte Ehegattin am 15. Januar 2003. Ab August 2003 lebten die Ehegatten getrennt, die Ehe wurde am 16. Oktober 2007 geschieden. Der Beschwerdeführer selbst hat angegeben, bereits nach sieben Monaten ein eigenes Zimmer gemietet zu haben (vgl. Beschwerde vom 21. Januar 2010 sowie Replik vom 26. April 2010). Die Vorinstanz wertete diesen Umstand als Indiz dafür, dass das Erfordernis des Zusammenlebens gemäss Art. 43 AuG nicht mehr erfüllt war. Sodann vertrat sie die Auffassung, dass keine wichtigen Gründe für getrennte Wohnorte bestanden und verneinte eine Anwendung von Art. 49 AuG.</w:t>
      </w:r>
    </w:p>
    <w:p>
      <w:r>
        <w:rPr>
          <w:b/>
        </w:rPr>
        <w:t>E. 7.2</w:t>
      </w:r>
    </w:p>
    <w:p>
      <w:r>
        <w:t>Zunächst bringt der Beschwerdeführer vor, die Anmietung eines separaten Zimmers habe sich als notwendig erwiesen, weil der in die Nacht verlegte Tagesablauf der im ehelichen Haushalt wohnenden erwachsenen und arbeitslosen Söhne der Ehefrau seine Nachtruhe beeinträchtigt habe, was mit seinem anstrengenden Tageswerk nicht vereinbar gewesen sei. In einer weiteren Stellungnahme fügt er an, er habe schon bald nach der Heirat festgestellt, dass seine Ehefrau alkoholabhängig und spielsüchtig gewesen sei. Er sei für den gesamten Haushalt aufgekommen, habe die finanziellen Verpflichtungen der Ehefrau und auch ihre Schulden übernommen. Schliesslich habe er den psychischen Druck nicht mehr ausgehalten und sich ein eigenes Zimmer gemietet. Diese Umstände stellten einen wichtigen Grund im Sinne von Art. 49 AuG dar. Die Ehegemeinschaft habe zu jenem Zeitpunkt dennoch weiter bestanden.</w:t>
      </w:r>
    </w:p>
    <w:p>
      <w:r>
        <w:rPr>
          <w:b/>
        </w:rPr>
        <w:t>E. 7.3</w:t>
      </w:r>
    </w:p>
    <w:p>
      <w:r>
        <w:t>Die Ex-Ehefrau des Beschwerdeführers hält in ihrer Stellungnahme vom 12. Januar 2005 fest, nach der Trennung im August 2003 hätten die Ehegatten zunächst keinen Kontakt mehr gehabt. Erst zur Besprechung der Trennung hätten sie diesen wieder aufgenommen. Eine Trennungsvereinbarung liege bereits vor und sie strebe keine Wiedervereinigung an. Ihrem Schreiben fügte sie lediglich die erste Seite eines Gesuchs an die Zivilabteilung des Gerichtskreises VIII L._______ vom 2. November 2004 um unentgeltliche Rechtspflege, in einem Verfahren gegen den Beschwerdeführer bei. Dieses vermag zwar ihre Behauptungen nicht zweifelsfrei zu belegen. Doch kann gestützt auf die gesamten Umstände davon ausgegangen werden, dass zu diesem Zeitpunkt bereits ein Verfahren betreffend Eheschutz eingeleitet worden war. Erst nachdem die Migrationsbehörde dem Beschwerdeführer die Nichtverlängerung der Aufenthaltsbewilligung androhte, war die Ex-Ehefrau auf einmal wieder an einer Wiedervereinigung interessiert, indem sie eine entsprechende Stellungnahme des Beschwerdeführers mitunterzeichnete. Der Beschwerdeführer äusserte sich indessen nicht explizit zu den Umständen nach seinem Auszug aus der ehelichen Wohnung. Jedenfalls ist aufgrund seiner Sachverhaltsdarstellungen gerade eben nicht von einer Trennung auszugehen. Sein Rechtsvertreter bestätigte jedoch mit Stellungnahme vom 19. August 2005, dass ein gerichtliches Verfahren zwischen den Ehegatten stattgefunden habe und diese (erst) nach der gerichtlichen Regelung der finanziellen Verantwortungen wiederum regelmässigen Kontakt pflegten. Es kann folglich - entgegen den Behauptungen des Beschwerdeführers (in seiner Beschwerde) - davon ausgegangen werden, dass die eheliche Beziehung nach der Trennung im August 2003 während rund einem Jahr, bis mindestens im Januar 2005 nicht mehr gelebt wurde.</w:t>
      </w:r>
    </w:p>
    <w:p>
      <w:r>
        <w:rPr>
          <w:b/>
        </w:rPr>
        <w:t>E. 7.4</w:t>
      </w:r>
    </w:p>
    <w:p>
      <w:r>
        <w:t>Leben die Eheleute über eine längere Zeit getrennt, spricht eine Vermutung für die Auflösung der Ehegemeinschaft, sodass der Beschwerdeführer das Zusammenwohnen sowie die nachträgliche Wiederaufnahme der Ehegemeinschaft hinreichend substantiiert und anhand geeigneter Belege darzulegen hat (vgl. Urteil des Bundesgerichts 2C_575/2009 vom 1. Juni 2010 E. 3.5). Zwar kann aufgrund der Schilderungen der Rechtsvertreter der beiden Ehegatten sowie der Stellungnahme des Beschwerdeführers (vgl. F. und G.) davon ausgegangen werden, dass gewisse Anstrengungen zur Lösung der ehelichen Probleme unternommen wurden. Doch sind die diesbezüglichen Stellungnahmen derart allgemein gehalten (die Ehegatten würden "möglicherweise" wieder zusammenziehen), dass sie nicht geeignet sind zu belegen, dass die Ehegatten jemals ernsthaft bemüht gewesen wären, den gemeinsamen Haushalt wieder aufzunehmen. Soweit in den Stellungnahmen darauf hingewiesen wird, die Ehegatten liessen sich berechtigterweise mit einer eventuellen Wiederaufnahme des gemeinsamen Haushaltes Zeit, gilt darauf hinzuweisen, dass das System des Familiennachzuges nicht darauf ausgelegt ist, Ehepartnern von Nachzugsberechtigten zu ermöglichen, sich längere Zeit in der Schweiz getrennt von diesen aufzuhalten, um sich über den Fortbestand der ihr abgeleitetes Anwesenheitsrecht begründenden Beziehung erst noch Klarheit zu verschaffen (vgl. Urteil des Bundesgerichts 2C_596/2013 vom 18. Juli 2013 E. 3.1 mit Hinweisen). Insbesondere ist insoweit kein wichtiger Grund im Sinne von Art. 49 AuG gegeben.</w:t>
      </w:r>
    </w:p>
    <w:p>
      <w:r>
        <w:rPr>
          <w:b/>
        </w:rPr>
        <w:t>E. 7.5</w:t>
      </w:r>
    </w:p>
    <w:p>
      <w:r>
        <w:t>Der Beschwerdeführer bringt in seiner Beschwerde vor, es sei in getrennten Haushalten eine intakte Ehe gelebt worden. Er sei "regelmässig" bei der Ehefrau vorbeigegangen und habe "nach dem Rechten" geschaut. In einer späteren Stellungnahme vom 16. Juni 2010 fügt er hinzu, sie hätten sich mindestens einmal die Woche gesehen und auch eine intime Beziehung gehabt. Mit Blick auf die bisherigen Ausführungen sind diese nicht weiter substantiierten bzw. belegten Einwände nicht geeignet, von der nachvollziehbaren Schlussfolgerung, die Ehe bestehe nur noch formell, abzuweichen. Insbesondere vermögen sie den Fortbestand der engen Beziehung nicht zu belegen, um annehmen zu können, der gegenseitige Ehewille und die Gemeinschaft der Gatten habe im Sinne der gesetzlichen Nachzugsbestimmungen fortbestanden (vgl. Urteil des Bundesgerichts 2C_285/2009 vom 4. Februar 2010 E. 2.2). An dieser Feststellung vermag auch die vom Beschwerdeführer vorgebrachte Übernahme der finanziellen Verpflichtungen und der Schulden der Ex-Ehefrau nichts ändern. Im Übrigen stellt auch ein freiwilliger Entscheid, teilweise oder vollständig "together apart" zu leben, für sich keinen wichtigen Grund im Sinne von Art. 49 AuG dar (vgl. Urteil des Bundesgericht 2C_1123/2012 vom 11. Juli 2013 E. 4.1.2 mit weiteren Hinweisen).</w:t>
      </w:r>
    </w:p>
    <w:p>
      <w:r>
        <w:rPr>
          <w:b/>
        </w:rPr>
        <w:t>E. 7.6</w:t>
      </w:r>
    </w:p>
    <w:p>
      <w:r>
        <w:t>Die Spannungen zwischen den Ehegatten hielten im vorliegenden Fall offenbar an und waren so gross, dass eine vollständige Rückkehr in die eheliche Wohnung nicht mehr möglich war. Sie nahmen den gemeinsamen Haushalt nicht mehr auf und trennten sich im August 2003 endgültig. Rückblickend kann folglich entgegen der Auffassung des Beschwerdeführers nicht von einer vorübergehenden Trennung gesprochen werden, wie dies Art. 76 VZAE i.V.m. Art. 49 AuG voraussetzt.</w:t>
      </w:r>
    </w:p>
    <w:p>
      <w:r>
        <w:rPr>
          <w:b/>
        </w:rPr>
        <w:t>E. 7.7</w:t>
      </w:r>
    </w:p>
    <w:p>
      <w:r>
        <w:t>Die Vorinstanz durfte demnach gestützt auf die äusseren Umstände davon ausgehen, es habe nach dem Bezug der Zweitwohnung durch den Beschwerdeführer im August 2003, nach gerade einmal sieben Monaten, keine eheliche Gemeinschaft im Sinne von Art. 43 Abs. 1 AuG mehr vorgelegen und es sei kein Anspruch auf Erteilung einer Aufenthaltsbewilligung gemäss Art. 50 Abs. 1 Bst. a AuG entstanden. Dass der Beschwerdeführer die finanziellen Verpflichtungen seiner Ex-Ehefrau weiterhin übernommen hat und die Ehe formell noch bis ins Jahr 2007 weiter bestand, ist angesichts dieses Ergebnisses im vorliegenden Zusammenhang nicht weiter von Bedeutung.</w:t>
      </w:r>
    </w:p>
    <w:p>
      <w:r>
        <w:rPr>
          <w:b/>
        </w:rPr>
        <w:t>E. 8</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(sog. "nachehelicher Härtefall", vgl. den bereits erwähnten BGE 137 II 345 E. 3.2.1). Solche Gründe können namentlich - so explizit Art. 50 Abs. 2 AuG - vorliegen, wenn der betreffende Ehegatte Opfer ehelicher Gewalt wurde (vgl. BGE 138 II 229 E. 3.1), er die Ehe nicht aus freiem Willen geschlossen hat und seine soziale Wiedereingliederung im Herkunftsland stark gefährdet erscheint; diese Bedingungen müssen jedoch nicht kumulativ erfüllt sein (BGE 136 II 1 E. 5 S. 3 ff.). Weitere wichtige und im Zusammenhang mit der Ehe stehende Gründe können sich auch daraus ergeben, dass der in der Schweiz lebende Ehepartner gestorben ist (vgl. BGE 138 II 393 E. 3.3) oder gemeinsame Kinder vorhanden sind (vgl. Spescha, a.a.O., Art. 50 AuG N 7 sowie Martina Caroni in: Caroni/Gächter/Thurnherr [Hrsg.], a.a.O., Art. 50 N 23 f.).</w:t>
      </w:r>
    </w:p>
    <w:p>
      <w:r>
        <w:rPr>
          <w:b/>
        </w:rPr>
        <w:t>E. 8.1</w:t>
      </w:r>
    </w:p>
    <w:p>
      <w:r>
        <w:t>Der Beschwerdeführer beruft sich weiter darauf, er habe mit einer spielsüchtigen, alkoholabhängigen Frau zusammengelebt und ihre finanziellen Verpflichtungen sowie die Schulden übernommen, weshalb er psychische Probleme bekommen habe. Damit sei er Opfer ehelicher psychischer Gewalt geworden. Häusliche Gewalt im Sinne der bundesgerichtlichen Rechtsprechung bedingt eine systematische Misshandlung mit dem Ziel, Macht und Kontrolle auszuüben (vgl. BGE 138 II 229 E. 3.2.1 sowie BGE 136 II 1 E. 5 je mit Hinweisen). Ein Anspruch auf einen weiteren Aufenthalt in der Schweiz wird erst begründet, wenn physische oder psychische Zwangsausübung von einer gewissen Konstanz bzw. Intensität vorliegt. Eine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 2C_221/2011 vom 30. Juli 2011 E. 2). Nicht jede unglückliche, belastende und nicht den eigenen Vorstellungen entsprechende Entwicklung einer Beziehung begründet indessen bereits einen nachehelichen Härtefall und ein weiteres Anwesenheitsrecht in der Schweiz.</w:t>
      </w:r>
    </w:p>
    <w:p>
      <w:r>
        <w:rPr>
          <w:b/>
        </w:rPr>
        <w:t>E. 8.1.1</w:t>
      </w:r>
    </w:p>
    <w:p>
      <w:r>
        <w:t>Der Beschwerdeführer macht nicht geltend, von seiner Ex-Ehefrau in eine Zwangssituation gedrängt worden zu sein, in welcher sie Macht und Kontrolle über ihn habe ausüben wollen. Der Sachverhalt lässt ebenfalls nicht erkennen, dass die Ex-Ehefrau den Beschwerdeführer in unzulässiger Weise dazu gebracht hätte, ihre finanziellen Verpflichtungen zu tragen oder ihr seelischen Beistand zu leisten. Die gesamten Umstände - insbesondere die Ausführungen des Beschwerdeführers - lassen darauf schliessen, dass der Beschwerdeführer stets aus eigener Initiative gehandelt hat. Soweit er glaubt, dass die Auswirkungen, welche die (psychischen und sozialen) Probleme seiner Ehefrau bzw. die gemeinsamen ehelichen Probleme auf ihn hatten ebenfalls als eheliche Gewalt im Sinne von Art. 50 Abs. 2 AuG zu werten sind, geht er in seiner Annahme fehl. Dass er sich möglicherweise in einer subjektiven Zwangslage befunden haben könnte, weil er glaubte, seine Ex-Ehefrau unterstützen zu müssen, ändert an dieser Feststellung nichts.</w:t>
      </w:r>
    </w:p>
    <w:p>
      <w:r>
        <w:rPr>
          <w:b/>
        </w:rPr>
        <w:t>E. 8.1.2</w:t>
      </w:r>
    </w:p>
    <w:p>
      <w:r>
        <w:t>In Bezug auf den geltend gemachten angeschlagenen psychischen Gesundheitszustand bestehen sodann ohnehin berechtigte Zweifel daran, dass dieser lediglich bzw. massgebend auf die Ehe mit der Ex-Ehefrau zurückzuführen ist. So hat der Beschwerdeführer am 28. Juni 2010 einen Bericht des F._______ (nachfolgend: Bericht) zu den Akten gereicht, wonach er am 6. Dezember 2008 das Notfallzentrum wegen Schmerzen in der Herzgegend aufgesucht habe. Aus dem Bericht geht im Wesentlichen hervor, dass die körperlichen Beschwerden vermutungsweise aufgrund einer depressiven Störung, ausgelöst durch multiple psychosoziale Belastungssituationen, eingetreten seien. In der in diesem Zusammenhang erstellten Anamnese hat der Beschwerdeführer angegeben, er sei seit 20 Jahren mit der Mutter seiner Kinder verheiratet, habe jedoch nur etwa fünf Jahre mit der Familie verbringen können. Er hege den Wunsch, seine Familie in die Schweiz einreisen zu lassen, was bis anhin rechtlich nicht möglich gewesen sei. Weiter wird im Wesentlichen auf das Fehlen einer Festanstellung, implizit auf die unsichere Aufenthaltssituation sowie auf die finanzielle Not, in welcher sich der Beschwerdeführer im Laufe seines Lebens immer wieder befunden habe, Bezug genommen. Dass er mit einer in der Schweiz niedergelassenen Frau verheiratet war, wird indessen nicht erwähnt. Es ist folglich nicht davon auszugehen, dass die Ehe mit der Ex-Ehefrau einen bedeutenden Einfluss auf das subjektive Befinden des Beschwerdeführers hatte. Jedenfalls wäre die Ex-Ehefrau nicht unerwähnt geblieben, hätte sie den Beschwerdeführer tatsächlich in eine bedeutende Zwangssituation gebracht. Hingegen belegen die Ausführungen im Bericht, dass die gesamten Lebensumstände dem Beschwerdeführer schwer zu schaffen machen. Hierbei dürfte die Absicht, seine Familie in die Schweiz zu holen, von besonderer Bedeutung sein, hatte er doch bereits am 23. Januar 2003, gerade einmal acht Tage nach seiner Heirat, versucht seine vier Kinder im Familiennachzug regeln zu lassen. Offensichtlich stehen seine psychischen Probleme nicht in unmittelbarem Zusammenhang mit der anspruchsbegründenden Ehe. Etwas Anderes geht im Übrigen auch nicht aus dem ärztlichen Zeugnis vom 21. Januar 2010 hervor. Obwohl der behandelnde Hausarzt die schwierige Ehesituation und die Scheidung als ursächlich für die psychische Erkrankung bezeichnete, waren es nach dessen Einschätzung dann doch die psychosozialen Probleme (finanzielle Verschuldung, Arbeitslosigkeit, usw.), welche den Beschwerdeführer massiv beeinträchtigten. Wegen diesen habe er phasenweise mit Antidepressiva behandelt und aufgrund psychischer Krisen notfallmässig im Inselspital behandelt werden müssen.</w:t>
      </w:r>
    </w:p>
    <w:p>
      <w:r>
        <w:rPr>
          <w:b/>
        </w:rPr>
        <w:t>E. 8.1.3</w:t>
      </w:r>
    </w:p>
    <w:p>
      <w:r>
        <w:t>Es sind auch keine weiteren spezifischen auf der Ehe des Beschwerdeführers bzw. auf deren Auflösung beruhende Gründe ersichtlich, die ihm einen Anspruch auf weiteren Verbleib in der Schweiz verschaffen könnten. Der Umstand, dass seine Ehe gescheitert ist, lässt nicht darauf schliessen, dass seine soziale Wiedereingliederung im Herkunftsland stark gefährdet wäre. Dies umso weniger, als sich seine heutige Ehefrau und die gemeinsamen Kinder in der Heimat befinden. Bedingt doch die Wiederverheiratung mit der Mutter seiner Kinder, dass der Kontakt zur Heimat in einem nicht unbedeutenden Masse aufrecht erhalten wurde. Nichts anderes lässt sich aus dem Umstand schliessen, dass der Beschwerdeführer während des gesamten Aufenthaltes in der Schweiz seine Kinder finanziell unterstützt hat und sie auch weiterhin unterstützt. Die Pflege der Vater-Kinder-Beziehung sowie die Aufrechterhaltung des Kontaktes mit der Ehefrau und Mutter der Kinder dürfte ebenfalls nur durch regelmässigen Kontakt mit der Heimat möglich gewesen sein. Die gesamten Umstände bedingen eine gewisse Verwurzelung des Beschwerdeführers in seiner Heimat. Da aus der Ehe mit seiner Ex-Ehefrau keine Kinder hervorgegangen sind, können auch keine entsprechend engen familiären Beziehungen in der Schweiz als wichtiger Grund für die Verlängerung seiner Aufenthaltsbewilligung herangezogen werden.</w:t>
      </w:r>
    </w:p>
    <w:p>
      <w:r>
        <w:rPr>
          <w:b/>
        </w:rPr>
        <w:t>E. 8.2</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den erwähnten BGE 137 II 345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zum Ganzen siehe auch Caroni, a.a.O., Art. 50 N 23 f.).</w:t>
      </w:r>
    </w:p>
    <w:p>
      <w:r>
        <w:rPr>
          <w:b/>
        </w:rPr>
        <w:t>E. 8.3</w:t>
      </w:r>
    </w:p>
    <w:p>
      <w:r>
        <w:t>Der Beschwerdeführer hat insbesondere betont, er habe seine berufliche Karriere im Wesentlichen in der Schweiz aufgebaut. Seit mehr als vier Jahren sei er (wann immer möglich) zu 100% für dasselbe Unternehmen in der Baubranche (gem. Eingabe vom 4. März 2013 für die gleichen Arbeitgeber) tätig, welches ihm lediglich aufgrund des Auftragsrückgangs (vgl. Beschwerde vom 21. Januar 2010) bzw. aufgrund der fehlenden Niederlassungsbewilligung (vgl. Eingaben vom 13. November 2009 und 10. April 2010) keine Festanstellung habe geben können. Die durchwegs positiven Arbeitszeugnisse belegten, dass er die Anforderungen der Arbeitgeber stets gut erfüllt habe. Er bringt weiter vor, dass er laut aktuellem Strafregisterauszug nicht vorbestraft sei, ein tragendes Beziehungsnetz (viele Kollegen aus dem Baugewerbe) habe und sich gute Deutschkenntnisse, etwas Französisch sowie Grundkenntnisse in Italienisch angeeignet habe. Nach über elf Jahren Aufenthalt in der Schweiz sei er hier sozial, wirtschaftlich und sprachlich bestens integriert.</w:t>
      </w:r>
    </w:p>
    <w:p>
      <w:r>
        <w:rPr>
          <w:b/>
        </w:rPr>
        <w:t>E. 8.4</w:t>
      </w:r>
    </w:p>
    <w:p>
      <w:r>
        <w:t>Dem Umstand, dass der Beschwerdeführer an seinem Arbeitsplatz offenbar geschätzt wird, kommt angesichts der arbeitsmarktlichen Interessen der Schweiz kein besonderes Gewicht zu. Seine sprachlichen Fertigkeiten belegte er vordergründig mit einer Bestätigung des Temporärstellenvermittlers vom 1. Mai 2009, wonach der Beschwerdeführer sehr gut Deutsch spreche und sich auch auf Französisch, Italienisch und Türkisch verständigen könne. Unter Hinweis auf den Bericht des Universitätsspitals Bern vom 6. Dezember 2008 gilt es jedoch die Umschreibung der Deutschkenntnisse als "sehr gut" zu relativieren. Denn lediglich fünf Monate vor Ausstellung der Bestätigung am 1. Mai 2009 soll die Verständigung mit dem Beschwerdeführer derart erschwert gewesen sein, dass eine Übersetzerin beigezogen werden musste. An seinen behaupteten "sehr guten" Kenntnissen der deutschen Sprache bestehen somit berechtigte Zweifel. Hinsichtlich seiner soziale Integration wird zwar nicht in Abrede gestellt, dass der Beschwerdeführer während seines hiesigen Aufenthaltes soziale Kontakte geknüpft hat, doch zeigt dies - insbesondere der Umstand, dass es sich dabei vorwiegend um Arbeitskollegen handelt - lediglich auf, dass seine bisherige Eingliederung nicht über eine normale zeitliche Entwicklung hinausgeht und nicht einer besonderen - auf eine enge Beziehung zur Schweiz hinweisende - Integrationsleistung entspricht. Damit besteht praxisgemäss im Rahmen von Art. 50 Abs. 1 Bst. b AuG kein Anspruch auf einen weiteren Verbleib, auch wenn die betroffene Person - wie der Beschwerdeführer - hier nicht straffällig geworden ist, gearbeitet hat und inzwischen eine Landessprache mehr oder weniger gut beherrscht. Eine normale Integration bildet bereits Voraussetzung für das Verbleiberecht nach Art. 50 Abs. 1 Bst. a AuG; eine solche reicht jedoch für einen nachehelichen Härtefall nicht aus, muss der persönliche wichtige Grund die weitere Anwesenheit doch als "erforderlich" erscheinen lassen (vgl. E.8.).</w:t>
      </w:r>
    </w:p>
    <w:p>
      <w:r>
        <w:rPr>
          <w:b/>
        </w:rPr>
        <w:t>E. 8.5</w:t>
      </w:r>
    </w:p>
    <w:p>
      <w:r>
        <w:t>Festzuhalten ist auch, dass die Aufenthaltsdauer von zwischenzeitlich elf Jahren angesichts seines Alters - der Beschwerdeführer reiste im Alter von 40 Jahren in die Schweiz ein - nicht als sehr lang anzusehen ist. Letztlich geht sein relativ langer Aufenthalt darauf zurück, dass der Beschwerdeführer das Ende der Realbeziehung den Migrationsbehörden nicht mitgeteilt hat und sich auf den bloss formellen Fortbestand der inhaltsleer gewordenen Ehe berufen hat (vgl. Art. 51 Abs. 2 i.V.m. Art. 62 Bst. a AuG). Da der Beschwerdeführer den grössten Teil seines Lebens in seinem Heimatland verbracht hat und mithin die persönlichkeitsbildenden Jahre dort erlebte, ist er mit den dortigen kulturellen und gesellschaftlichen Gepflogenheiten vertraut. Seine heutige Ehefrau und die gemeinsamen Kinder, mit denen er während des Aufenthalts in der Schweiz in Kontakt geblieben ist, halten sich dort auf. Es bestehen sodann keine Zweifel, dass er nach seiner Rückkehr soziale Anknüpfungspunkte haben wird und ihm dank der Ehefrau und der Kinder die Reintegration keine besonderen Schwierigkeiten bereiten dürfte. Die hier erworbenen Fähigkeiten werden ihm bei der beruflichen Wiedereingliederung von Nutzen sein. Ohne Belang ist es, wenn er dort wirtschaftliche Verhältnisse vorfindet, die nicht denjenigen der Schweiz entsprechen und er deshalb seine Kinder nicht mehr finanziell unterstützen kann. Sollte der Beschwerdeführer hinsichtlich seiner psychischen Beschwerden nach seiner Rückkehr in die Türkei auf ärztliche Betreuung angewiesen sein, so ist kein Grund ersichtlich, weshalb er nicht in der Lage sein sollte, das dortige Gesundheitssystem in Anspruch zu nehmen. Da der Beschwerdeführer im Übrigen keine pathologischen gesundheitlichen Probleme hat, ergeben sich insgesamt gesehen keine wichtigen persönlichen Gründe, die eine Verlängerung seiner Aufenthaltsbewilligung erfordern würden. Derartige Gründe sind nur dann anzunehmen, wenn die persönliche, berufliche und familiäre Wiedereingliederung stark gefährdet erscheint und nicht bereits dann, wenn ein Leben in der Schweiz einfacher wäre (vgl. den erwähnten BGE 137 II 345 E. 3.2.3).</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von Art. 18 - 30 AuG einen fehlerhaften Ermessensentscheid getroffen haben könnte, bestehen keine Anhaltspunkte; insbesondere wäre in diesem Rahmen auch keine Härtefallregelung nach Art. 30 Abs. 1 Bst. b AuG in Betracht gekommen.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daher zu prüfen, ob Hinderungsgründe für den Vollzug der Wegweisung anzunehmen sind (Art. 83 Abs. 2 - 4 AuG) und das BFM gestützt hierauf die vorläufige Aufnahme hätte verfügen müssen.</w:t>
      </w:r>
    </w:p>
    <w:p>
      <w:r>
        <w:rPr>
          <w:b/>
        </w:rPr>
        <w:t>E. 10.1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10.3</w:t>
      </w:r>
    </w:p>
    <w:p>
      <w:r>
        <w:t>Der Beschwerdeführer hat sich nur insofern zur Situation in seinem Heimatland geäussert, als er die schlechteren wirtschaftlichen Lebensumstände geltend gemacht hat. Dieser Aspekt berührt die Frage nach der Zumutbarkeit des Wegweisungsvollzugs jedoch nicht. Es ist auch ansonsten nicht erkennbar, aus welchen Gründen die Wegweisung für ihn zu einer existenzbedrohenden Situation führen könnte. Der Vollzug seiner Wegweisung ist damit als zumutbar zu erachten.</w:t>
      </w:r>
    </w:p>
    <w:p>
      <w:r>
        <w:rPr>
          <w:b/>
        </w:rPr>
        <w:t>E. 11</w:t>
      </w:r>
    </w:p>
    <w:p>
      <w:r>
        <w:t>Aus diesen Darlegungen folgt, dass die angefochtene Verfügung im Ergebnis als recht­mässig zu bestätigen ist (Art. 49 VwVG). Die Beschwerde ist demzufolge abzuweisen.</w:t>
      </w:r>
    </w:p>
    <w:p>
      <w:r>
        <w:rPr>
          <w:b/>
        </w:rPr>
        <w:t>E. 12</w:t>
      </w:r>
    </w:p>
    <w:p>
      <w:r>
        <w:t>Entsprechend dem Ausgang des Verfahrens sind dem Beschwerdeführer die Kosten aufzuerlegen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