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C-3948/2007 vom 5. November 2009</w:t>
      </w:r>
    </w:p>
    <w:p>
      <w:r>
        <w:t>Bundesverwaltungsgericht, 2009-11-05, DE</w:t>
      </w:r>
    </w:p>
    <w:p>
      <w:r>
        <w:rPr>
          <w:b/>
        </w:rPr>
        <w:t xml:space="preserve">Quelle: </w:t>
      </w:r>
      <w:r>
        <w:t>https://mcp.opencaselaw.ch/entscheid/bvger_C-3948_2007</w:t>
      </w:r>
    </w:p>
    <w:p>
      <w:r>
        <w:t>FR: TAF C-3948/2007 du 5 novembre 2009</w:t>
      </w:r>
    </w:p>
    <w:p>
      <w:r>
        <w:t>IT: TAF C-3948/2007 del 5 novembre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darauf einzutreten.</w:t>
      </w:r>
    </w:p>
    <w:p>
      <w:r>
        <w:rPr>
          <w:b/>
        </w:rPr>
        <w:t>E. 1.5</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Frank Seethaler und Richter Bernard Maitre der Abteilung II sowie Richter Beat Weber der Abteilung III.</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beziehungsweise (nach dessen Unabhängigkeitserklärung)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Zunächst sind die zur Beurteilung der Streitsache massgebenden gesetzlichen Grundlagen und die von der Rechtsprechung entwickelten Grundsätze darzulegen.</w:t>
      </w:r>
    </w:p>
    <w:p>
      <w:r>
        <w:rPr>
          <w:b/>
        </w:rPr>
        <w:t>E. 3.1</w:t>
      </w:r>
    </w:p>
    <w:p>
      <w:r>
        <w:t>Gemäss bundesgerichtlicher Rechtsprechung sind im Beschwerdeverfahren grundsätzlich für die Bestimmung des rechtserheblichen Sachverhalts die tatsächlichen Verhältnisse zur Zeit des Erlasses der strittigen Verfügung, vorliegend demnach der 9. Mai 2007,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abzustellen (4. IV-Revision).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Die fachliche Qualifikation des Experten oder Teilgutachters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Einem Gutachten kommt schon dann kein voller Beweiswert zu, wenn Indizien gegen seine Zuverlässigkeit sprechen; es muss nicht feststehen, dass das Gutachten effektiv nicht den Tatsachen entspricht, was nicht mit medizinischen Fachpersonen besetzte Behörden oft nicht beurteilen können (Urteil des EVG vom 16. Oktober 2002, I 779/01; Urteile des Bundesgerichts vom 10. April 2007, I 362/06 und vom 12. März 2007, U 203/06).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Gemäss Art. 28 Abs. 1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w:t>
      </w:r>
    </w:p>
    <w:p>
      <w:r>
        <w:rPr>
          <w:b/>
        </w:rPr>
        <w:t>E. 3.7</w:t>
      </w:r>
    </w:p>
    <w:p>
      <w:r>
        <w:t>Der Rentenanspruch entsteht gemäss Art. 29 Abs. 1 IVG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w:t>
      </w:r>
    </w:p>
    <w:p>
      <w:r>
        <w:rPr>
          <w:b/>
        </w:rPr>
        <w:t>E. 3.8</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4</w:t>
      </w:r>
    </w:p>
    <w:p>
      <w:r>
        <w:t>Der Beschwerdeführer hat nach Verlassen der Schweiz gemäss seinen eigenen Angaben keine Erwerbstätigkeit mehr ausgeübt, so dass vorliegend aufgrund der ärztlichen Angaben zu prüfen ist, ob er bis zum 9. Mai 2007 in rentenbegründendem Ausmass invalid geworden ist.</w:t>
      </w:r>
    </w:p>
    <w:p>
      <w:r>
        <w:rPr>
          <w:b/>
        </w:rPr>
        <w:t>E. 4.1</w:t>
      </w:r>
    </w:p>
    <w:p>
      <w:r>
        <w:t>Den Akten zufolge leidet der Beschwerdeführer unter einer chronischen hypertensiven Kardiomyopathie NYHA II (ICD-10: I11.0), einer ischämischen Kardiomyopathie bzw. einem Status nach dreifacher Bypassoperation im Januar 1996 (ICD-10: I25.5), einer rezidivierenden depressiven Störung, mit einer gegenwärtig mittelgradigen Episode (ICD-10: F33.1), und einer undifferenzierten Somatisierungsstörung (ICD-10: F45.1). Dabei handelt es sich um labile pathologische Geschehen, so dass ein allfälliger Rentenanspruch erst nach der gesetzlichen Wartefrist von einem Jahr entstehen kann, während welchem der Beschwerdeführer ohne wesentlichen Unterbruch zu mindestens 50% arbeitsunfähig gewesen war (Art. 29 Abs. 1 Bst. b in der bis zum 31. Dezember 2007 gültig gewesenen Fassung).</w:t>
      </w:r>
    </w:p>
    <w:p>
      <w:r>
        <w:rPr>
          <w:b/>
        </w:rPr>
        <w:t>E. 4.2</w:t>
      </w:r>
    </w:p>
    <w:p>
      <w:r>
        <w:t>Hinsichtlich des Einflusses der erwähnten Erkrankungen auf die Arbeitsfähigkeit des Beschwerdeführers sind sich der IV-Stellenarzt und die örtlichen kosovarischen Ärzte darin einig, dass eine Einschränkung der Arbeitsfähigkeit von 100% im angestammten Beruf vorliegt. Hingegen bleibt unklar, in welchem Ausmass der Beschwerdeführer auch in einer Verweisungstätigkeit eingeschränkt ist.</w:t>
      </w:r>
    </w:p>
    <w:p>
      <w:r>
        <w:rPr>
          <w:b/>
        </w:rPr>
        <w:t>E. 5.1.1</w:t>
      </w:r>
    </w:p>
    <w:p>
      <w:r>
        <w:t>Der beigezogene IV-Stellenarzt Dr. med. C._______ging in seinem vorläufigen Schlussbericht vom 21. Juni 2006 - nach Vervollständigung der Unterlagen - von einer vollständigen Arbeitsfähigkeit des Beschwerdeführers in einer angepassten Tätigkeit seit Juni 1996 aus. Dabei berücksichtigte er lediglich die somatischen Beschwerden (IV-Akt. 52). In seinem Schlussbericht vom 10. April 2007 erachtete Dr. med. C._______ den Beschwerdeführer wegen der zusätzlichen psychischen Beschwerden seit September 2006 zu 30% in seiner Arbeitsfähigkeit eingeschränkt (IV-Akt. 75).</w:t>
      </w:r>
    </w:p>
    <w:p>
      <w:r>
        <w:rPr>
          <w:b/>
        </w:rPr>
        <w:t>E. 5.1.2</w:t>
      </w:r>
    </w:p>
    <w:p>
      <w:r>
        <w:t>Demgegenüber ging Dr. med. R._______, bei welchem der Beschwerdeführer seit Januar 1996 regelmässig zur Behandlung geht, von einer vollständigen Arbeits- und Erwerbsunfähigkeit aus (IV-Akt. 23, 27, 28, 39, 40, 43, 44). Dr. med. T._______ diagnostizierte in seinem Bericht vom 1. April 2006 einen Status nach Vorderwandinfarkt, einen Status nach dreifacher Bypassoperation, eine dekompensierte chronische, ischämische und hypertensive Kardiomyopathie, NYHA II und eine Adipositas. Die Echokardiographie zeigte eine Reduktion der systolischen Funktion und eine diastolische Dysfunktion, jeweils links. Eine Ergometrie konnte nicht durchgeführt werden. Aufgrund der verminderten Auswurffraktion (35%) und der Adipositas (BMI 40) schloss Dr. med. T._______ auf eine deutlich reduzierte Arbeitsfähigkeit und empfahl Diät und eine medikamentöse Therapie (IV-Akt. 33, 34, 35, 36). Dr. med. I._______, welcher den Beschwerdeführer im Auftrag der IV-Stelle untersucht hat, erachtete die Arbeitsfähigkeit des Beschwerdeführers ebenfalls als deutlich eingeschränkt, ohne sich genauer festzulegen (IV-Akt. 37). Der Neuropsychiater Dr. med. X._______, bei welchem der Beschwerdeführer seit 10. Februar 2006 behandelt wird, diagnostizierte eine Angst- und depressive Störung gemischt (ICD-10 F41.2) und erachtete den Beschwerdeführer als dauernd arbeitsunfähig (IV-Akt. 38, 41, 42, 45, 46, 47, 48). Dr. med. J._______, Neuropsychiater, Klinik für Neurologie und Psychiatrie AURA, diagnostizierte in seiner Expertise vom 13. Januar 2007 eine rezidivierende depressive Störung, mit einer gegenwärtig mittelgradigen Episode (ICD-10: F33.1) sowie eine undifferenzierte Somatisierungsstörung (ICD-10: F45.1). Er erachtete den Beschwerdeführer aufgrund dieser Beschwerden als zu 30% eingeschränkt in seiner Arbeitsfähigkeit (IV-Akt. 72). Dr. med. I._______, welcher den Beschwerdeführer im Auftrag der Vorinstanz wegen der psychischen Störungen ein weiteres Mal begutachtete, schloss sich der Ansicht von Dr. med. J._______ (IV-Akt. 73).</w:t>
      </w:r>
    </w:p>
    <w:p>
      <w:r>
        <w:rPr>
          <w:b/>
        </w:rPr>
        <w:t>E. 5.2</w:t>
      </w:r>
    </w:p>
    <w:p>
      <w:r>
        <w:t>Es kann davon ausgegangen werden, dass der Beschwerdeführer aufgrund der psychischen Störung zu 30% in seiner Arbeitsfähigkeit in einer angepassten Tätigkeit eingeschränkt ist. Die Expertise von Dr. med. J._______ erscheint nachvollziehbar und schlüssig. Ferner verfügt er über den entsprechenden Facharzttitel, welcher für die Beurteilung der Auswirkungen der psychischen Störungen erforderlich ist. Hingegen bleibt unklar, wieweit der Beschwerdeführer in einer angepassten Tätigkeit aus somatischer Sicht eingeschränkt ist. Die Kardiologen Dres. med. R._______ und T._______ erachteten den Beschwerdeführer wegen des Herzleidens als arbeits- und erwerbsunfähig. Auch aus der Begutachtung von Dr. med. I._______ vom 30. März 2006 geht nicht mit der erforderlichen Klarheit hervor, wieweit der Beschwerdeführer auch in einer angepassten Tätigkeit eingeschränkt ist. Hinzu kommt, dass eine Ergometrie nicht durchgeführt werden konnte, wobei aus den Akten nicht hervorgeht, weshalb der Beschwerdeführer den Rad-Ergometer nicht besteigen konnte (Herzinsuffizienz, Adipositas oder andere Gründe). Aus dem Schreiben der Vorinstanz vom 9. März 2006 und dem Bericht des RAD Rhone vom 1. März 2006 geht jedoch hervor, dass eine Ergometrie als unabdingbar erachtet wurde (IV-Akt. 9, 50). Ob den kardiovaskulären Risikofaktoren und der Verminderung der körperlichen Leistungsfähigkeit allein durch die Beschränkung auf körperlich leichte Tätigkeiten ausreichend Rechnung getragen worden ist, wie dies der IV-Stellenarzt getan hat, bleibt damit offen. Hinzu kommt, dass Dr. med. C._______ Allgemeinmediziner ist und damit nicht über die erforderliche Qualifikation verfügt, um die Auswirkungen des Herzleidens auf die Arbeitsfähigkeit beurteilen zu können. Ferner sind seine Berichte nicht eingehend begründet.</w:t>
      </w:r>
    </w:p>
    <w:p>
      <w:r>
        <w:rPr>
          <w:b/>
        </w:rPr>
        <w:t>E. 5.3</w:t>
      </w:r>
    </w:p>
    <w:p>
      <w:r>
        <w:t>Unter diesen Umständen und insbesondere angesichts der sich widersprechenden Beurteilungen der verschiedenen Ärzte sowie der unvollständigen medizinischen Dokumentation muss das Bundesverwaltungsgericht feststellen, dass der rechtserhebliche Sachverhalt vorliegend nur ungenügend abgeklärt ist. Damit ist der Beschwerdegrund von Art. 49 lit. b VwVG gegeben, was zur Aufhebung der angefochtenen Verfügung führt.</w:t>
      </w:r>
    </w:p>
    <w:p>
      <w:r>
        <w:rPr>
          <w:b/>
        </w:rPr>
        <w:t>E. 6.1</w:t>
      </w:r>
    </w:p>
    <w:p>
      <w:r>
        <w:t>Nach Art. 61 Abs. 1 VwVG kann die Beschwerdeinstanz ausnahmsweise die zu beurteilende Sache, statt selbst zu entscheiden, mit verbindlichen Weisungen an die Vorinstanz zurückweisen. Ein solcher Ausnahmefall ist vorliegend wegen der in entscheidenden Punkten unvollständigen Akten gegeben, weshalb die Sache an die Vor- instanz zurückgewiesen wird.</w:t>
      </w:r>
    </w:p>
    <w:p>
      <w:r>
        <w:rPr>
          <w:b/>
        </w:rPr>
        <w:t>E. 6.2</w:t>
      </w:r>
    </w:p>
    <w:p>
      <w:r>
        <w:t>Die Vorinstanz hat den Beschwerdeführer in seiner Heimat oder in der Schweiz kardiologisch begutachten zu lassen. Sinnvollerweise ist auch eine Ergometrie durchzuführen. Die begutachtenden Ärzte müssen sich über die verbleibende Arbeitsfähigkeit in einer Verweisungstätigkeit aus kardiologischer Sicht äussern. Danach hat die Vorinstanz einen Einkommensvergleich durchzuführen und wiederum eine anfechtbare Verfügung zu erlassen.</w:t>
      </w:r>
    </w:p>
    <w:p>
      <w:r>
        <w:rPr>
          <w:b/>
        </w:rPr>
        <w:t>E. 7</w:t>
      </w:r>
    </w:p>
    <w:p>
      <w:r>
        <w:t>Die Beschwerde ist daher in dem Sinne gutzuheissen, dass die angefochtene Verfügung vom 9. Mai 2007 aufgehoben und die Sache an die Vorinstanz zurückgewiesen wird, damit diese nach erfolgter Abklärung im Sinne der Erwägungen über den Leistungsanspruch neu verfüge.</w:t>
      </w:r>
    </w:p>
    <w:p>
      <w:r>
        <w:rPr>
          <w:b/>
        </w:rPr>
        <w:t>E. 8</w:t>
      </w:r>
    </w:p>
    <w:p>
      <w:r>
        <w:t>Zu befinden bleibt noch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7. November 2007 geleistete Kostenvorschuss von Fr. 300.-- ist zurück zu erstatten.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I._______ vertreten (nichtanwaltliche berufsmässige Vertretung; Art. 10 Abs. 2 VGKE). Ihm ist daher eine Parteientschädigung für die ihm entstandenen notwendigen Kosten zuzusprechen. Da keine Kostennote eingereicht wurde, ist die Parteientschädigung aufgrund der Akten festzusetzen (Art. 14 Abs. 2 S. 2 VGKE). Eine Parteientschädigung in der Höhe von Fr. 300.--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