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C-3946/2013 vom 20. November 2014</w:t>
      </w:r>
    </w:p>
    <w:p>
      <w:r>
        <w:t>Bundesverwaltungsgericht, 2014-11-20, FR</w:t>
      </w:r>
    </w:p>
    <w:p>
      <w:r>
        <w:rPr>
          <w:b/>
        </w:rPr>
        <w:t xml:space="preserve">Quelle: </w:t>
      </w:r>
      <w:r>
        <w:t>https://mcp.opencaselaw.ch/entscheid/bvger_C-3946_2013</w:t>
      </w:r>
    </w:p>
    <w:p>
      <w:r>
        <w:t>FR: TAF C-3946/2013 du 20 novembre 2014</w:t>
      </w:r>
    </w:p>
    <w:p>
      <w:r>
        <w:t>IT: TAF C-3946/2013 del 20 novembre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requise de 400.- francs ayant été effectuée pour le montant de 405.50 francs,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w:t>
      </w:r>
    </w:p>
    <w:p>
      <w:r>
        <w:rPr>
          <w:b/>
        </w:rPr>
        <w:t>E. 2.2</w:t>
      </w:r>
    </w:p>
    <w:p>
      <w:r>
        <w:t>L'assuré est ressortissant espagnol résidant en Espagne,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2.3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application en l'espèce, étant précisé que les nouvelles normes n'ont pas apporté de changements par rapport à l'ancien droit quant à l'évaluation de l'invalidité dont il convient de procéder in casu.</w:t>
      </w:r>
    </w:p>
    <w:p>
      <w:r>
        <w:rPr>
          <w:b/>
        </w:rPr>
        <w:t>E. 2.5</w:t>
      </w:r>
    </w:p>
    <w:p>
      <w:r>
        <w:t>En application de l'art. 29 al. 1 et 3 LAI le droit à la rente prend naissance au plus tôt à l'échéance d'une période de 6 mois à compter de la date à laquelle l'assuré a fait valoir son droit aux prestations conformément à l'art. 29 al. 1 LPGA et la rente est versée dès le début du mois au cours duquel le droit prend naissance. Concrètement le Tribunal peut donc se limiter à examiner si le recourant avait droit à une rente le 1er mai 2013 (6 mois après le dépôt de la 2ème demande du 8 novembre 2012) ou si le droit à une rente était né entre cette date et le 3 juin 2013, date de la décision attaquée marquant la limite dans le temps du pouvoir d'examen de l'autorité de recours (ATF 129 V 1 consid. 1.2; ATF 129 V 222, consid. 4.1; ATF 121 V 362 consid. 1b).</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n°883/2004). Le recourant a versé des cotisations à l'AVS/AI pendant plus de 3 ans (pce 44). Il remplit donc la condition de la durée minimale de cotisations eu égard au moment de l'ouverture éventuelle du droit à la rente. Il reste à examiner s'il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Le recourant a travaillé de nombreuses années jusqu'à la cessation, indiquée fin novembre 2011 (pce 37 p. 2 ch. 3), de son activité comme maçon indépendant. Suite à son AVC en octobre 2011, il n'a pas pu maintenir son activité.</w:t>
      </w:r>
    </w:p>
    <w:p>
      <w:r>
        <w:rPr>
          <w:b/>
        </w:rPr>
        <w:t>E. 5.1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5.2</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TF I 499/02 du 17 juin 2003 consid. 6 et les références). En l'espèce, au vu des pièces au dossier, il y a lieu de considérer que l'intéressé a cessé son activité indépendante au 30 novembre 2011 et que dès lors la méthode générale d'évaluation de l'invalidité est applicable.</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En l'espèce il appert du dossier que l'intéressé a subi un AVC fin octobre 2011. Il n'est pas contesté, au vu de l'ensemble de la documentation médicale, notamment des plaintes de douleurs et de perte de force au niveau du bras droit, que l'intéressé ne peut plus, suite à son atteinte à la santé, exercer son activité indépendante de maçon qui exige notamment des soulèvements et ports de charges lourdes, bien que ni le rapport E 213 du 30 janvier 2012 ni le rapport médical du Dr B._______ du 20 décembre 2011 ne relèvent des faiblesses musculaires au niveau du bras droit et que la fibrillation atriale ne soit pas indiquée ayant une incidence sur la capacité de travail. Dans le rapport E 213 du 27 novembre 2012, qui est le dernier document médical du dossier, une hémiparésie droite légère (MSD et MID 4+/5) ainsi qu'une dysarthrie légère avec quelques troubles mnésiques sont signalés comme séquelles de l'AVC d'octobre 2011 chez une personne orientée et collaborante en mesure d'exercer à plein temps une activité adaptée d'exigence moyenne tenant compte de quelques restrictions (cf. rapport E 213 ch. 10.1). De l'avis du Dr D._______ l'assuré présente une incapacité de travail de 80% dans son activité antérieure depuis le 26 octobre 2011 et de 0% depuis le 26 décembre 2011 (2 mois après l'AVC) dans une activité légère à moyenne adaptée tenant compte des limitations de port de poids de 8 kg, de distance de marche de 1 km, de travaux non au dessus de la tête et ne sollicitant pas le bras droit à l'effort. La fibrillation atriale est indiquée sans incidence sur la capacité de travail. L'indication doit s'entendre dans une activité adaptée. La date du 26 décembre 2011 ne correspond pas à un examen médical et a été posée in abstracto. En tenant compte du rapport médical du 20 décembre 2011 du Dr B._______, qui sur un plan général ne relève pas à l'occasion de son examen pour des douleurs au pied droit un status incompatible avec les activités proposées comme activités de substitution par le Dr D._______, et vu le rapport E 213 du 30 janvier 2012, il ressort de manière unanime des pièces médicales au dossier qu'une activité adaptée à plein temps est exigible au moins à partir de fin janvier 2012. Cette appréciation ne va pas à l'encontre des limitations fonctionnelles retenues par les médecins ultérieurement et également des plaintes et allégations de fibrillation atriale de l'assuré.</w:t>
      </w:r>
    </w:p>
    <w:p>
      <w:r>
        <w:rPr>
          <w:b/>
        </w:rPr>
        <w:t>E. 7.2</w:t>
      </w:r>
    </w:p>
    <w:p>
      <w:r>
        <w:t>Sur le plan psychologique les rapports médicaux ne font pas état de troubles autres que mnésiques occasionnels. Les rapports indiquent tous un état conscient, orienté et collaborant. La dysarthrie, laquelle est d'ailleurs signalée comme légère, ne peut être retenue comme invalidante chez une personne non professionnellement dans une activité de contact.</w:t>
      </w:r>
    </w:p>
    <w:p>
      <w:r>
        <w:rPr>
          <w:b/>
        </w:rPr>
        <w:t>E. 7.3</w:t>
      </w:r>
    </w:p>
    <w:p>
      <w:r>
        <w:t>Sur le plan médical il peut être confirmé que l'intéressé est en mesure d'exercer, déjà à compter du 30 janvier 2012 (date du 1er rapport E 213, supra A), une activité légère à moyenne adaptée comme cela ressort du rapport médical E 213 du 21 novembre 2012 avec les limitations fonctionnelles énoncées par le Dr D._______, soit les activités de substitution proposées par ce médecin dans l'industrie légère à moyenne, dans les services personnels comme surveillant de chantier et immeuble, gardien de parking et musée, magasinier.</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coûts de la vie ne sont pas les mêmes entre deux pays et ne permettent pas une comparaison objective (ATF 110 V 273 consid. 4b).</w:t>
      </w:r>
    </w:p>
    <w:p>
      <w:r>
        <w:rPr>
          <w:b/>
        </w:rPr>
        <w:t>E. 8.3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8.4</w:t>
      </w:r>
    </w:p>
    <w:p>
      <w:r>
        <w:t>Selon la jurisprudence, les salaires avant et après invalidité doivent être pris en compte indexés jusqu'à la date de la survenance du droit théorique éventuel à la rente suite au délai d'attente d'une année (ATF 128 V 174 et 129 V 222 consid. 4.1; Valterio, op. cit., n° 2063 s.). En l'espèce, le droit théorique à la rente doit être pris en compte au 1er octobre 2012 et non, comme l'a retenu l'OAIE, fin décembre 2011. L'ouverture théorique du droit au paiement après le délai de 6 mois à compter du dépôt de la demande de prestations, in casu mai 2013, n'est pas déterminant pour l'indexation. Il convient donc de procéder à une évaluation de l'invalidité selon la méthode générale par une comparaison de revenus sur la base de l'ESS 2010 indexé 2012, l'ESS 2012 n'ayant pas été publiée à ce jour (28.10.2014). In casu il peut être fait abstraction des variations du temps de travail hebdomadaire, lesquelles ont varié de 2010 à 2012 de - 0.1 h./sem. (construction, commerce de gros) à + 0.1 h./sem. (autres services personnels) dans les activités prises en compte par l'OAIE tant pour l'activité sans invalidité que pour les activités avec invalidité (Office fédéral de la statistique [OFS] DNT 2004-2013). Même prises en compte les variations ne seraient in casu pas déterminantes.</w:t>
      </w:r>
    </w:p>
    <w:p>
      <w:r>
        <w:rPr>
          <w:b/>
        </w:rPr>
        <w:t>E. 9.1</w:t>
      </w:r>
    </w:p>
    <w:p>
      <w:r>
        <w:t>Selon ESS 2010 le salaire mensuel brut d'un travailleur avec des connaissances professionnelles spécialisées dans la construction (niveau 3) pour 40 h./sem. est de 5'742.- francs, et, pour 41.6 h./sem. selon l'horaire usuel de la branche, de 5'971.68 francs. Indexé 2012 (OFS T1.10 2011-2013: indice 2012: 101.7 base 2010: 100), ce montant s'élève à 6'073.19 francs. Le montant de 6'073.19 francs doit être comparé avec les montants des revenus en 2010 indexés 2012 d'activités de substitution simples et répétitives (niveau 4) telles que proposées par le service médical de l'OAIE, exigibles à 100% dès le 26 octobre 2012 (l'assuré a alors 56 ans), en tenant compte des temps usuels hebdomadaires de travail, tels ceux a) dans l'industrie alimentaire (40 h./sem.: CHF 4'757.- / 42.2 h./sem.: CHF 5'018.64) indexé 2012 (indice 2012: 100.6) à 5'048.75 francs, b) dans l'industrie de l'habillement (40 h./sem.: CHF 4'487.- / 41.8 h./sem.: CHF 4'688.92) indexé 2012 (indice 2012: 102.1) à 4'787.38 francs, c) dans les services des bâtiments et de l'aménagement paysager (40 h./sem.: CHF 4'114.- / 42.1 h./sem.: CHF 4'329.99) indexé 2012 (indice 101.5) à 4'394.93 francs, d) dans les autres services personnels (40 h./sem.: 4'256.- / 41.8 h./sem.: CHF 4'447.52.-) indexé 2012 (indice: 102.1) à 4'540.90 francs, e) dans le commerce de gros (40 h./sem.: CHF 4'869.- / 42 h./sem.: 5'112.45) indexé 2012 (indice 101.8) à 5'204.47 francs, soit en moyenne 4'792.28 francs. En appliquant un abattement de 20% sur ce montant pour tenir compte des limitations fonctionnelles de l'assuré et de son âge, comme l'a effectué l'OAIE, on obtient un revenu avec invalidité de 3'836.22 francs. Il en résulte une diminution de la capacité de gain de 80% dès le 26 octobre 2011 et de ([6'073.19 - 3'836.22] x 100 : 6073.19 = 36.83) 37% dès le 26 octobre 2012. Ce taux d'invalidité est le même que celui obtenu par l'OAIE.</w:t>
      </w:r>
    </w:p>
    <w:p>
      <w:r>
        <w:rPr>
          <w:b/>
        </w:rPr>
        <w:t>E. 9.2</w:t>
      </w:r>
    </w:p>
    <w:p>
      <w:r>
        <w:t>En règle générale l'évaluation du revenu théorique avec invalidité s'effectue en référence au tableau TA1 relatif au secteur privé, ligne "total secteur privé" (ATF 129 V 472 consid. 4.2.1, ATF 126 V 75 consid. 3b/aa, ATF 124 V 321 consid. 3b/aa) à moins que l'office AI n'estime qu'une évaluation plus ciblée ne se justifie comme ce fut le cas in casu. En 2010 pour 40 h./sem. ce montant pour le niveau 4 s'élève 4'901.- francs, indexé 2012 (indice 101.8, base indice 100 en 2010) pour 41.7 h./sem. (temps de travail usuel moyen en 2012), ce montant s'élève à 5'201.25 francs. Compte tenu d'un abattement de 20%, il en résulte un revenu avec invalidité de 4'161.- francs établissant une invalidité de ([6'073.19 - 4'161.-] x 100 : 6'073.19 = 31.48) 31%. Ce taux est nettement en dessous du résultat plus favorable pour l'assuré résultant du calcul de l'OAIE et n'ouvre pas le droit à une rente d'invalidité.</w:t>
      </w:r>
    </w:p>
    <w:p>
      <w:r>
        <w:rPr>
          <w:b/>
        </w:rPr>
        <w:t>E. 9.3</w:t>
      </w:r>
    </w:p>
    <w:p>
      <w:r>
        <w:t>S'agissant de la hauteur de l'abattement sur le salaire invalide que l'on peut reconnaître au recourant,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L'autorité inférieure a procédé à une réduction du revenu d'invalide de 20% pour tenir compte des limitations de l'intéressé dans des tâches légères à moyenne (cf. consid. 9.2), par quoi il faut comprendre in casu avant tout sollicitant peu le bras droit à l'effort. L'autorité de recours peut partager cette appréciation. La capacité de travail du recourant, à 9 ans de l'âge de la retraite (65 ans), est large dans nombre d'activités de substitution exigibles adaptées dans l'industrie et les services personnels notamment de surveillance.</w:t>
      </w:r>
    </w:p>
    <w:p>
      <w:r>
        <w:rPr>
          <w:b/>
        </w:rPr>
        <w:t>E. 9.4</w:t>
      </w:r>
    </w:p>
    <w:p>
      <w:r>
        <w:t>Compte tenu de ce qui précède le taux d'invalidité de 37% retenu par l'autorité inférieure peut être confirmé. Il n'ouvre pas droit à une rente de l'assurance-invalidité.</w:t>
      </w:r>
    </w:p>
    <w:p>
      <w:r>
        <w:rPr>
          <w:b/>
        </w:rPr>
        <w:t>E. 10.1</w:t>
      </w:r>
    </w:p>
    <w:p>
      <w:r>
        <w:t>Vu l'issue de la procédure, les frais de celle-ci, fixés à 405.50 francs, sont mis à la charge du recourant (art. 63 al. 1 PA, applicable par le truchement de l'art. 37 LTAF). Ils sont compensés par l'avance de frais du même montant dont il s'est acquitté au cours de l'instruction.</w:t>
      </w:r>
    </w:p>
    <w:p>
      <w:r>
        <w:rPr>
          <w:b/>
        </w:rPr>
        <w:t>E. 10.2</w:t>
      </w:r>
    </w:p>
    <w:p>
      <w:r>
        <w:t>Il n'est pas alloué de dépens (art. 7 al. 1 a contrario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