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C-3936/2015 vom 24. Januar 2017</w:t>
      </w:r>
    </w:p>
    <w:p>
      <w:r>
        <w:t>Bundesverwaltungsgericht, 2017-01-24, IT</w:t>
      </w:r>
    </w:p>
    <w:p>
      <w:r>
        <w:rPr>
          <w:b/>
        </w:rPr>
        <w:t xml:space="preserve">Quelle: </w:t>
      </w:r>
      <w:r>
        <w:t>https://mcp.opencaselaw.ch/entscheid/bvger_C-3936_2015</w:t>
      </w:r>
    </w:p>
    <w:p>
      <w:r>
        <w:t>FR: TAF C-3936/2015 du 24 janvier 2017</w:t>
      </w:r>
    </w:p>
    <w:p>
      <w:r>
        <w:t>IT: TAF C-3936/2015 del 24 gennaio 2017</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Oggetto del contendere è unicamente la questione se a ragione o meno l'amministrazione, con decisione del 26 maggio 2015, non è entrata nel merito della domanda di revisione della rendita presentata dall'assicurato in data 10 febbraio 2015 (doc. 166-168). Egli ritiene che la documentazione medica trasmessa attesti un peggioramento dello stato di salute, mentre l'amministrazione ritiene che la situazione è rimasta pressoché invariata.</w:t>
      </w:r>
    </w:p>
    <w:p>
      <w:r>
        <w:rPr>
          <w:b/>
        </w:rPr>
        <w:t>E. 3.1</w:t>
      </w:r>
    </w:p>
    <w:p>
      <w:r>
        <w:t>Il ricorrente è cittadino di uno Stato membro della Comunità europea, per cui è applicabile, di principio, l'ALC (RS 0.142.112.681).</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e DTF 130 V 445 consid. 1.2).</w:t>
      </w:r>
    </w:p>
    <w:p>
      <w:r>
        <w:rPr>
          <w:b/>
        </w:rPr>
        <w:t>E. 4.2</w:t>
      </w:r>
    </w:p>
    <w:p>
      <w:r>
        <w:t>In concreto la domanda di revisione è stata presentata il 25/31 maggio 2013 (art. 88bis cpv. 1 lett. a OAI, doc. 90). Al caso in esame si applicano pertanto le disposizioni della 6a revisione della LAI (primo pacchetto), entrate in vigore il 1° gennaio 2012 e le disposizioni della LPGA vigenti a tale data.</w:t>
      </w:r>
    </w:p>
    <w:p>
      <w:r>
        <w:rPr>
          <w:b/>
        </w:rPr>
        <w:t>E. 5.1</w:t>
      </w:r>
    </w:p>
    <w:p>
      <w:r>
        <w:t>Il potere cognitivo di questo Tribunale è delimitato dalla data della decisione impugnata, in quanto il giudice delle assicurazioni sociali esamina il provvedimento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5.2</w:t>
      </w:r>
    </w:p>
    <w:p>
      <w:r>
        <w:t>Il ricorrente, come già menzionato, ha presentato la domanda di revisione il 10 febbraio 2015 (doc. 166). Il periodo di cognizione giudiziaria del Tribunale amministrativo federale si estende fino al 26 maggio 2015 (doc. 177), data dalla decisione impugnata (si confronti pure DTF 130 V 64 per quanto attiene alle decisioni di non entrata nel merito di una nuova domanda di rendita).</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7.3</w:t>
      </w:r>
    </w:p>
    <w:p>
      <w:r>
        <w:t>Giusta l'art. 87 cpv. 2 OAI, se è fatta domanda di revisione, nella domanda si deve dimostrare che il grado di invalidità o di grande invalidità o il volume dell'assistenza dovuta all'invalidità è modificato in misura rilevante per il diritto alle prestazioni.</w:t>
      </w:r>
    </w:p>
    <w:p>
      <w:r>
        <w:rPr>
          <w:b/>
        </w:rPr>
        <w:t>E. 7.3.1</w:t>
      </w:r>
    </w:p>
    <w:p>
      <w:r>
        <w:t>Il grado di prova richiesto dall'art. 87 cpv. 2 OAI (nel tenore in vigore dal 1 gennaio 2012, RU 2011 5679)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Tribunale federale 9C_708/2007 dell'11 settembre 2008 consid. 2.2 e relativi riferimenti).</w:t>
      </w:r>
    </w:p>
    <w:p>
      <w:r>
        <w:rPr>
          <w:b/>
        </w:rPr>
        <w:t>E. 7.3.2</w:t>
      </w:r>
    </w:p>
    <w:p>
      <w:r>
        <w:t>La condizione di verosimiglianza posta dall'art. 87 cpv. 2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In caso di nuova domanda o istanza di revisione, l'amministrazione deve 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l'autorità competente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7.4</w:t>
      </w:r>
    </w:p>
    <w:p>
      <w:r>
        <w:t>L'art. 88a cpv. 2 OAI (nel tenore in vigore dal 1° gennaio 2012, RU 2011 5679) prevede che se la capacità al guadagno o la capacità di svolgere le mansioni consuete peggiora, se la grande invalidità si aggrava o il bisogno di assistenza o di aiuto dovuto all'invalidità aumenta, il cambiamento va tenuto in considerazione non appena è durato tre mesi, senza interruzione notevole. L'art. 29 bis è applicabile per analogia. L'aumento della rendita, dell'assegno per grandi invalidi o del contributo per assistenza avviene al più presto se l'assicurato ha chiesto la revisione a partire dal mese in cui la domanda è stata inoltrata (art. 88bis cpv. 1 lett. a OAI, nel tenore in vigore dal 1° gennaio 2012, RU 2011 5679).</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w:t>
      </w:r>
    </w:p>
    <w:p>
      <w:r>
        <w:rPr>
          <w:b/>
        </w:rPr>
        <w:t>E. 8.2</w:t>
      </w:r>
    </w:p>
    <w:p>
      <w:r>
        <w:t>Nel caso in esame il periodo di riferimento è quello intercorrente tra il 24 maggio 2013, data della decisione dell'UAIE, confermata da questo Tribunale con sentenza C-3466/13, mediante la quale è stata confermato il diritto alla mezza rendita AI ed il 26 maggio 2015, data della decisione impugnata. Nell'ambito della procedura conclusasi con giudizio del TAF del 24 settembre 2014 è stato accertato che da un punto di vista somatico, la situazione esistente al momento della decisione del 10 dicembre 2008, era immutata, mentre era insorta una patologia psichiatrica che provocava una riduzione della capacità lavorativa del 20%, da integrare tuttavia nell'incapacità lavorativa per motivi fisici.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10.1</w:t>
      </w:r>
    </w:p>
    <w:p>
      <w:r>
        <w:t>Questo Tribunale rileva che la sostituzione di una rendita intera con una mezza rendita intervenuta nel 2008 si era fondata sulla perizia medica allestita dal SAM nel maggio 2007 (doc. 62 in toto). I sanitari avevano in particolare evidenziato la diagnosi (con influenza sulla capacità di lavoro) di (riassunto) esiti di encefalopatia da toxoplasmosi cerebrale con due crisi epilettiche nel 2002 e 2008, infezione cronica da HIV nota dal 2001 con toxoplasmosi cerebrale in trattamento con Trizivir, sindrome lombovertebrale, rispettivamente lombospondilogena in stato dopo due interventi di discectomia L4-L5 a sinistra nel 1999 ed L5-S1 a destra nel 2004, sindrome da attrito sottoacromiale più marcata alla spalla destra con componente tendinea flogistica. Era inoltre presente una patologia senza influsso sulla capacità di lavoro consistente in uno stato dopo epatite cronica C, esiti di trattamento antivirale di detta patologia epatica, ipertensione arteriosa non trattata. A causa dei disturbi a livello ortopedico, neurologico ed infettivo i periti avevano valutato al 70% il grado d'inabilità lavorativa dell'interessato nella sua precedente funzione di operaio imballatore, mentre ritenevano che in attività meglio adeguate il grado di capacità lavorativa del paziente raggiungeva il 50% (ridotto rendimento sull'arco dell'intera giornata). Tale situazione era stata confermata nell'ambito della revisione avviata nel 2012 e terminata con la sentenza del TAF C-3466/13 succitata.</w:t>
      </w:r>
    </w:p>
    <w:p>
      <w:r>
        <w:rPr>
          <w:b/>
        </w:rPr>
        <w:t>E. 10.2</w:t>
      </w:r>
    </w:p>
    <w:p>
      <w:r>
        <w:t>Nel corso della revisione del 2012 alla precedente diagnosi, confermata, come detto, in quanto non erano stati evidenziati mutamenti delle patologie principali (ortopedica, infettiva e neurologica), è stata posta la diagnosi di sindrome mista ansioso-depressiva (ICD 10F41.2) con una ripercussione sulla capacità di lavoro del 20% non cumulabile con la valutazione dell'incidenza delle patologie somatiche di cui sopra (doc. 141).</w:t>
      </w:r>
    </w:p>
    <w:p>
      <w:r>
        <w:rPr>
          <w:b/>
        </w:rPr>
        <w:t>E. 11.1</w:t>
      </w:r>
    </w:p>
    <w:p>
      <w:r>
        <w:t>A suffragio della domanda di revisione in esame l'interessato si è limitato a produrre un rapporto di medicina interna del 9 marzo 2015 a firma Dott.ri C._______ e D._______ dell'Ospedale N.________ di Varese ed un rapporto del medico curante non datato, ma situabile dopo il 6 febbraio 2015 (doc. 166), senza addurre concretamente in cosa sarebbe consistito il peggioramento dello stato di salute. In un secondo tempo l'interessato ha prodotto i risultati di un'ecografia muscolo-tendinea della spalla destra del 20 marzo 2015 (doc. 168 pag.3). Ora, il primo rapporto nemmeno indica la diagnosi completa, limitandosi ad elencare fatti anamnestici ampiamenti conosciuti, ricordando principalmente la patologia da HIV e gli interventi di ernia discale lombare, nonché la sindrome ansio-depressiva; viene altresì precisata la terapia in atto. Per il resto, all'esame obbiettivo non vengono segnalati particolari problemi atti a far pensare ad un eventuale peggioramento del quadro patologico: "paziente vigile, lucido collaborante; soggettivamente depresso, toni cardiaci validi, ritmici, normofrequenti (...), linfoadenopatia palpabili al collo, non dolenti; (...); addome trattabile, non dolente, né dolorabile alla palpazione (...), non segni di peritonismo, non segni indiretti di ipertensione portale, non soffi addominali, non soffi carotidei auscultabili, non xantelasmi né xantomi tendinei, non arco corneale, non edemi declivi. L'esame in parola non fa stato di eventuali urgenti provvedimenti da assumere a causa dello stato di salute del paziente, ma, anzi, sembra rilevare una situazione clinica statica non bisognosa di ulteriori cure se non quelle già in atto. In effetti in ordine alla dislipidemia ("condizione clinica nella quale sono presenti nel sangue elevate concentrazioni di lipidi") acquisita, accertata nel corso dell'esame, va rilevato che il medico ha ritenuto il profilo lipidico discretamente controllato, pur in assenza di terapia e di una dieta non controllata e ha rinunciato ad introdurre l'assunzione di statina. Nel rapporto non viene espresso infine alcun giudizio sul grado d'incapacità al lavoro del paziente.</w:t>
      </w:r>
    </w:p>
    <w:p>
      <w:r>
        <w:rPr>
          <w:b/>
        </w:rPr>
        <w:t>E. 11.2</w:t>
      </w:r>
    </w:p>
    <w:p>
      <w:r>
        <w:t>Il referto del Dott. E._______, si limita dal canto suo ad un elenco cronologico anamnestico (dal 1995) fino al 2013. Il medico curante rileva l'ultima visita psichiatrica facente stato della nota sindrome ansioso-depressiva, accertata dai medici del CPAS nella precedente procedura di revisione, senza indicare alcuna limitazione della capacità lavorativa. Sia in relazione alla nuova TAC lombosacrale del 2015 che al nuovo referto ecografico muscolo-tendineo del 20 marzo 2015 non viene attestata alcuna limitazione della capacità lavorativa.</w:t>
      </w:r>
    </w:p>
    <w:p>
      <w:r>
        <w:rPr>
          <w:b/>
        </w:rPr>
        <w:t>E. 11.3</w:t>
      </w:r>
    </w:p>
    <w:p>
      <w:r>
        <w:t>Questi tre atti sono stati sottoposti al Dott. F._______, il quale (doc. 169), ha evidenziato che l'attuale documentazione radiologica, peraltro priva di correlata descrizione clinica, evidenzia una problematica ben nota di tipo degenerativo a livello lombare e della spalla destra. Gli atti non sono pertanto sufficienti per comprovare una sostanziale modifica dello stato di salute con influsso sulla residua capacità lavorativa.</w:t>
      </w:r>
    </w:p>
    <w:p>
      <w:r>
        <w:rPr>
          <w:b/>
        </w:rPr>
        <w:t>E. 11.4</w:t>
      </w:r>
    </w:p>
    <w:p>
      <w:r>
        <w:t>In sede di audizione, A._______ si è limitato a esibire nuovamente i due referti oggettivi sopra menzionati e la TAC lombosacrale del 6 febbraio 2015 (già riferita per estenso nel rapporto del Dott. E._______), così come un breve rapporto di visita fisiatrica del aprile 2015 (doc. 171). Il Dott. F._______ ha rilevato come anche questa nuova documentazione non sia sufficiente per dimostrare un peggioramento della condizioni di salute e valetudinarie dell'interessato.</w:t>
      </w:r>
    </w:p>
    <w:p>
      <w:r>
        <w:rPr>
          <w:b/>
        </w:rPr>
        <w:t>E. 11.5</w:t>
      </w:r>
    </w:p>
    <w:p>
      <w:r>
        <w:t>Infine, in sede ricorsuale, l'interessato ha prodotto copia di un precedente certificato del Dott. E._______ e un nuovo breve certificato del medesimo medico del 16 giugno 2015 non apportante alcuna novità (doc. TAF 1, allegato D). Nel proprio rapporto il medico curante ribadisce infatti le note diagnosi. In sede di replica, l'interessato ha prodotto due Rx colonna cervicale e mano sinistra, atti che sono stati esaminati dal Dott. F._______, il quale ha dichiarato che la documentazione non mostra una sostanziale modifica dello stato di salute.</w:t>
      </w:r>
    </w:p>
    <w:p>
      <w:r>
        <w:rPr>
          <w:b/>
        </w:rPr>
        <w:t>E. 11.6</w:t>
      </w:r>
    </w:p>
    <w:p>
      <w:r>
        <w:t>Da quanto precede risulta che se è vero che l'assicurato ha prodotto alcuni documenti sanitari recenti, è altrettanto vero che, malgrado vengano indicate nuove patologie quali ad esempio la dislipidimia e manifestazioni artrosiche a livello cervicale, non vi è nessun atto di rilievo che renda plausibile un aggravamento delle condizioni di salute tale da incidere sulla capacità lavorativa. Trattasi in concreto di referti oggettivi non apportanti nulla di nuovo in tal senso, oppure succinti e ripetitivi certificati del medico curante, che ribadisce diagnosi già note nel 2008 e nel 2013 o, infine, poco significanti rapporti di terapie fisiatriche. In nessun atto - ad eccezione del certificato medico del dottor E._______ del 16 giugno 2015, che tuttavia va considerato una valutazione diversa di una situazione rimasta uguale considerate le diagnosi poste - viene quantificata l'incapacità lavorativa dell'assicurato né i motivi che giustificherebbero un suo peggioramento.</w:t>
      </w:r>
    </w:p>
    <w:p>
      <w:r>
        <w:rPr>
          <w:b/>
        </w:rPr>
        <w:t>E. 11.7</w:t>
      </w:r>
    </w:p>
    <w:p>
      <w:r>
        <w:t>In simili condizioni, come indicato dal Dott. F._______ dell'UAI, non vi è nulla che possa sovvertire e nemmeno scalfire la perizia effettuata al SAM nel 2007 né tantomeno l'indagine psichiatrica effettuata dal CPAS alla fine del 2012. Gli atti non impongono quindi ulteriori accertamenti da parte dell'UAIE.</w:t>
      </w:r>
    </w:p>
    <w:p>
      <w:r>
        <w:rPr>
          <w:b/>
        </w:rPr>
        <w:t>E. 11.8</w:t>
      </w:r>
    </w:p>
    <w:p>
      <w:r>
        <w:t>In virtù di quanto sopra esposto si deve concludere che il ricorrente non ha reso plausibile che è subentrata, rispetto al 2007/2012, una modifica del suo stato di salute suscettibile di giustificare l'entrata nel merito della sua domanda di revisione del 10 febbraio 2015. La decisione impugnata può quindi essere tutelata, mentre il ricorso, manifestamente infondato va respinto.</w:t>
      </w:r>
    </w:p>
    <w:p>
      <w:r>
        <w:rPr>
          <w:b/>
        </w:rPr>
        <w:t>E. 12</w:t>
      </w:r>
    </w:p>
    <w:p>
      <w:r>
        <w:t>Il giudice dell'istruzione, anteriormente o posteriormente ad uno scambio di scritti, decide quale giudice unico, con motivazione sommaria, i ricorsi manifestamente infondati (art. 85bis cpv. 3 LAVS in combinazione con l'art. 69 cpv. 2 LAI). Nel caso concreto il gravame, in considerazione fra l'altro degli scarsi documenti presentati e delle generiche argomentazioni addotte, deve ritenersi siccome manifestamente infondato. La presente sentenza può pertanto essere risolta a giudice unico.</w:t>
      </w:r>
    </w:p>
    <w:p>
      <w:r>
        <w:rPr>
          <w:b/>
        </w:rPr>
        <w:t>E. 13.1</w:t>
      </w:r>
    </w:p>
    <w:p>
      <w:r>
        <w:t>Le spese processuali, ammontanti a fr. 400.-, sono poste a carico del ricorrente e vengono compensate con l'anticipo già fornito l'8 luglio 2015.</w:t>
      </w:r>
    </w:p>
    <w:p>
      <w:r>
        <w:rPr>
          <w:b/>
        </w:rPr>
        <w:t>E. 13.2</w:t>
      </w:r>
    </w:p>
    <w:p>
      <w:r>
        <w:t>Visto l'esito del ricorso, non vengono riconosciute indennità per spese ripetibili (art. 64 PA a contrario). Le autorità federali non hanno diritto ad indennità a titolo di ripetibili (art. 7 cpv. 3 TS_TAF).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