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C-3935/2011 vom 29. Februar 2012</w:t>
      </w:r>
    </w:p>
    <w:p>
      <w:r>
        <w:t>Bundesverwaltungsgericht, 2012-02-29, IT</w:t>
      </w:r>
    </w:p>
    <w:p>
      <w:r>
        <w:rPr>
          <w:b/>
        </w:rPr>
        <w:t xml:space="preserve">Quelle: </w:t>
      </w:r>
      <w:r>
        <w:t>https://mcp.opencaselaw.ch/entscheid/bvger_C-3935_2011</w:t>
      </w:r>
    </w:p>
    <w:p>
      <w:r>
        <w:t>FR: TAF C-3935/2011 du 29 février 2012</w:t>
      </w:r>
    </w:p>
    <w:p>
      <w:r>
        <w:t>IT: TAF C-3935/2011 del 29 febbraio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Le disposizioni relative alla 6a revisione della LAI (primo pacchetto di misure), che sono entrate in vigore il 1° gennaio 2012, non sono invece applicabili (RU 2011 5659, FF 2010 1603). Il periodo di cognizione giudiziaria dello scrivente Tribunale amministrativo federale si estende fino al 15 giugno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L'interessato ha lavorato in Svizzera come operaio edile fino al 1992 quando è rientrato in Italia. Ha in seguito lavorato come muratore per un'impresa della sua regione fino al 27 luglio 2009 per ragioni di salute (doc. 12, 13, 56).</w:t>
      </w:r>
    </w:p>
    <w:p>
      <w:r>
        <w:rPr>
          <w:b/>
        </w:rPr>
        <w:t>E. 7.2</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7.3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Nella fattispecie, l'interessato soffre di esiti di stabilizzazione chirurgica del rachide lombare per stenosi canalare serrata ed ernie discali multiple incipienti; esiti riparativi di rottura traumatica completa del tendine achilleo destro, gonatrosi bilaterale. Con la documentazione esibita in sede di audizione (Dott.ssa Ghiringhelli, rapporto del 13 aprile 2011, doc. 64) non vengono segnalate ulteriori patologie.</w:t>
      </w:r>
    </w:p>
    <w:p>
      <w:r>
        <w:rPr>
          <w:b/>
        </w:rPr>
        <w:t>E. 9.1</w:t>
      </w:r>
    </w:p>
    <w:p>
      <w:r>
        <w:t>Per quanto concerne le conseguenze invalidanti delle menzionate affezioni, il servizio medico dell'INPS ha ritenuto che l'interessato presenta un grado d'invalidità del 75%. Tuttavia, tale valutazione si riferisce al precedente lavoro. Il medico italiano stima che il paziente può svolgere un'attività leggera a determinate condizioni: deve essere un lavoro in assenza di umidità, freddo, rumori; non deve avere ritmi stressanti; non deve comportare frequenti flessioni, né il trasporto di pesi o la salita/discesa di scale a pioli; l'attività deve prevedere adeguate pause di riposo. Anche il Dott. Milnersic, medico dell'UAIE, esclude che l'assicurato possa riprendere il precedente lavoro di muratore. Egli osserva tuttavia che il nominato è in grado di svolgere attività alternative in misura completa. Il paziente ha superato con successo la recente artrodesi lombare e lombosacrale. Permangono movimenti rigidi con il rachide ad atteggiamento scoliotico ed una manovra di Lasègue positiva a sinistra; gli arti superiori conservano movimenti liberi, come pure gli arti inferiori; si nota una sub-anchilosi al ginocchio destro peraltro varo ed artrosico e vi è una leggera claudicatio a destra a causa di un incidente e le sue conseguenze del febbraio 2006 (doc. 34); tale evento non ha però impedito all'assicurato, dopo un periodo d'inattività (per una ricaduta del 31 agosto 2006), di riprendere il suo lavoro da inizio 2007 fino a luglio 2009. Nulla è rilevato in ambito neurologico. Per il resto, le condizioni di salute dell'assicurato sono più che buone. Tutti gli altri organi ed apparati sono indenni da patologie.</w:t>
      </w:r>
    </w:p>
    <w:p>
      <w:r>
        <w:rPr>
          <w:b/>
        </w:rPr>
        <w:t>E. 9.2</w:t>
      </w:r>
    </w:p>
    <w:p>
      <w:r>
        <w:t>Dal canto suo, la Dott.ssa Ghiringhelli non apporta novità dal punto di vista diagnostico, ma si limita ad osservare che, data la scarsa preparazione scolastica del nominato, persona peraltro che ha sempre svolto l'attività di muratore, un'attività di sostituzione appare illusoria. Il perito di parte pone quindi un grado d'invalidità generale del 75%, ma non descrive, oggettivamente, un quadro limitante più severo di quello rilevato dal medico dell'INPS. Ora, dottrina e giurisprudenza raccomandano grande prudenza nel basarsi su certificazioni redatte da medici stranieri, siccome, da un lato, un apprezzamento espresso con cognizione di causa presuppone, evidentemente, una buona conoscenza del diritto svizzero delle assicurazioni sociali e, dall'altro, le basi di valutazione all'estero sono spesso diverse da quelle conosciute in Svizzera (cfr. P. Omlin, Die Invalidität in der obligatorischen Unfallversicherung, Friborgo 1995, p. 296 e seg.). Si deve, quindi, ammettere che al rapporto stilato dalla Dott.ssa Ghiringhelli non può venire riconosciuto il necessario valore probante richiesto per vagliare la lite soprattutto per quanto riguarda la fissazione del grado di inabilità lavorativa (cfr. DTF 122 V 160 consid. 1c e riferimenti menzionati).</w:t>
      </w:r>
    </w:p>
    <w:p>
      <w:r>
        <w:rPr>
          <w:b/>
        </w:rPr>
        <w:t>E. 9.3</w:t>
      </w:r>
    </w:p>
    <w:p>
      <w:r>
        <w:t>Il collegio giudicante, sulla scorta del parere del servizio medico dell'UAIE, ritiene pertanto che A.________, per tutto il periodo da esaminare, non avrebbe più potuto svolgere un'attività di muratore. A lui sarebbero comunque stati proponibili, al 100%, a partire da due o tre mesi dopo l'intervento di artrodesi lombare del dicembre 2009, attività di ripiego leggere e/o semisedentarie, ripetitive, non qualificate quali quella di operaio addetto al controllo di macchine di produzione automatica, operaio addetto all'imballaggio di piccoli oggetti, portiere d'albergo, addetto alla ricezione in portinerie di ditte, custode di museo o di parcheggio, aiuto magazziniere od altre ancora più specifiche come indicato nel rapporto del Dott. Milnersic del 20 ottobre 2010 (doc. 51) o nell'impugnata decisione.</w:t>
      </w:r>
    </w:p>
    <w:p>
      <w:r>
        <w:rPr>
          <w:b/>
        </w:rPr>
        <w:t>E. 9.4</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w:t>
      </w:r>
    </w:p>
    <w:p>
      <w:r>
        <w:rPr>
          <w:b/>
        </w:rPr>
        <w:t>E. 9.5</w:t>
      </w:r>
    </w:p>
    <w:p>
      <w:r>
        <w:t>È vero che durante la sua carriera professionale l'insorgente ha svolto principalmente l'attività di muratore. Si può tuttavia ritenere che, visto il genere d'attività sostitutive in esame e la natura delle sue affezioni, un adattamento del posto di lavoro alle condizioni di salute del ricorrente non risulta necessario rispettivamente è di semplice realizzazione. Questo Tribunale osserva pure che allo stesso si presenta un ventaglio relativamente ampio di professioni possibili (e sufficientemente specificate) in diversi settori, con mansioni semplici e ripetitive, che non richiedono necessariamente la messa in atto di particolari misure di reintegrazione professionale. 10.1. 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 10.2. 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Nella fattispecie, l'amministrazione ha considerato i parametri in vigore in Italia atteso che il nominato lavora nel suo Paese dal 1992. Il salario di riferimento è del 2010, anno d'insorgenza dell'evento assicurabile. Il reddito è di Euro 1'980.44 mensili (doc. 52 e 56). 10.3. Quale reddito da invalido l'autorità inferiore ha ritenuto quello ottenibile in attività di tipo leggero non qualificate e ripetitive. Solo i valori nazionali sono applicabili (Bulletin des statistiques du travail, edite dal Ufficio internazionale del lavoro, Ginevra, 2009). Queste attività comportano un salario medio mensile di Euro 1'374.18, opportunamente già indicizzati al 2010. Questo introito teorico può essere ridotto per tenere conto dei fattori personali dell'assicurato (DTF 126 V 75), quali età, handicap. L'amministrazione ha operato una deduzione complessiva del 15%, ciò che può essere condiviso. Deve essere aggiunto che nell'ambito dell'applicazione di tale riduzione per fattori personali, l'amministrazione gode di un'ampia autonomia di giudizio che il giudice può rivedere soli in casi particolari (DTF 137 V 71 consid. 5.2). Ne consegue un salario dopo deduzione di Euro 1'168.05. 10.4. Il confronto fra un reddito privo d'invalidità di Euro 1'980.44 ed un introito teorico dopo l'insorgenza dell'invalidità di Euro 1'168.05, causa una perdita di guadagno del 41.02% (arrotondato al 41%), grado che comporta il riconoscimento del diritto ad un quarto di rendita dell'assicurazione svizzera per l'invalidità. 10.5. Il diritto alla rendita nasce al più presto 6 mesi dopo dalla data in cui l'assicurato ha rivendicato il diritto alle prestazioni (cfr. consid. 6.2). L'interessato ha presentato la domanda di prestazioni il 22 gennaio 2010. Nel caso presente, l'evento assicurabile si è verificato un anno dopo la cessazione dell'attività lucrativa, ossia nel luglio 2010. Il diritto al quarto di rendita sorge pertanto il 1° luglio 2010. In queste circostanze il ricorso deve essere respinto e l'impugnata decisione confermata.</w:t>
      </w:r>
    </w:p>
    <w:p>
      <w:r>
        <w:rPr>
          <w:b/>
        </w:rPr>
        <w:t>E. 11.1</w:t>
      </w:r>
    </w:p>
    <w:p>
      <w:r>
        <w:t>La procedura è di principio onerosa (art. 69 LAI). Nella memoria ricorsuale e con la compilazione del questionario d'assistenza giudiziaria, l'insorgente ha chiesto di essere esonerato da queste spese. Vista la situazione personale del medesimo, esaminati gli atti prodotti, le spese processuali possono essere condonate ai sensi dell'art. 6 lett. a del regolamento del 21 febbraio 2008 sulle tasse e sulle spese ripetibili nelle cause dinanzi al Tribunale amministrativo federale (TS-TAF, RS 173.320.2).</w:t>
      </w:r>
    </w:p>
    <w:p>
      <w:r>
        <w:rPr>
          <w:b/>
        </w:rPr>
        <w:t>E. 11.2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