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C-3932/2009 vom 25. Oktober 2010</w:t>
      </w:r>
    </w:p>
    <w:p>
      <w:r>
        <w:t>Bundesverwaltungsgericht, 2010-10-25, IT</w:t>
      </w:r>
    </w:p>
    <w:p>
      <w:r>
        <w:rPr>
          <w:b/>
        </w:rPr>
        <w:t xml:space="preserve">Quelle: </w:t>
      </w:r>
      <w:r>
        <w:t>https://mcp.opencaselaw.ch/entscheid/bvger_C-3932_2009</w:t>
      </w:r>
    </w:p>
    <w:p>
      <w:r>
        <w:t>FR: TAF C-3932/2009 du 25 octobre 2010</w:t>
      </w:r>
    </w:p>
    <w:p>
      <w:r>
        <w:t>IT: TAF C-3932/2009 del 25 ottobre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Conformemente al tenore della LAI in vigore dal 1° gennaio 2004 (4a revisione), 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4.3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4.5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5</w:t>
      </w:r>
    </w:p>
    <w:p>
      <w:r>
        <w:t>Il ricorrente contesta la validità materiale della decisione dell'UAIE, chiedendo che gli sia riconosciuto il diritto ad una rendita intera d'invalidità anche oltre il 30 giugno 2009.</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6.5</w:t>
      </w:r>
    </w:p>
    <w:p>
      <w:r>
        <w:t>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può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il 9 gennaio 2004 (doc. 85). Occorre pertanto verificare se tra il 9 gennaio 2004 ed il 4 maggio 2009, data della decisione impugnata, l'incidenza delle affezioni di cui soffre il ricorrente sulla sua capacità lavorativa è diminuita in modo tale da giustificare la sostituzione della rendita intera d'invalidità con tre quarti di rendita, come deciso dall'UAIE (art. 88bis cpv. 2 lett. a OAI). A questo proposito, giova rilevare che il giudice delle assicurazioni sociali analizza la legalità della decisione impugnata, in generale, secondo lo stato di fatto esistente al momento in cui essa è stata resa (DTF 130 V 445 consid. 1.2 e 1.2.1).</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come nella fattispecie, visto che il ricorrente non ha più lavorato dopo il suo rientro in Italia,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Dalla documentazione medica agli atti e, in particolare, dalla perizia medica particolareggiata E 213 del dott. I._______, del 22 novembre 2006 (doc. 102), dalla perizia ortopedica del dott. L._______, del 17 aprile 2008 (doc. 122), dai rapporti del dott. H._______, medico dell'UAIE, del 6 giugno 2008 e del 23 marzo 2009 (doc. 126 e 155), e dalla perizia psichiatrica del dott. O._______, del 9 febbraio 2009 (doc. 150), si evince la diagnosi di gonalgia bilaterale, più marcata a sinistra, con bloccaggio meccanico nella flessione a sinistra, da ambo i lati, in presenza di innumerevoli interventi chirurgici in seguito a lussazioni delle rotule, di sindrome vertebrale localizzata clinicamente piuttosto all'altezza del segmento lombo-sacrale a sinistra, senza alterazione strutturale o degenerazione segmentale di rilievo, e di sindrome depressiva ricorrente.</w:t>
      </w:r>
    </w:p>
    <w:p>
      <w:r>
        <w:rPr>
          <w:b/>
        </w:rPr>
        <w:t>E. 10.2</w:t>
      </w:r>
    </w:p>
    <w:p>
      <w:r>
        <w:t>Dall'incarto risulta assodato che il ricorrente non può più lavorare come stuccatore, ma che egli può esercitare un'attività leggera di sostituzione. A questo proposito, il dott. I._______ ha stabilito, nella sua perizia E 213, che il ricorrente è capace di svolgere regolarmente lavori leggeri, in posizione seduta e in ambiente chiuso, con pause supplementari, purché si evitino l'umidità, il calore, il fumo, il gas, i vapori, i lavori a turni, le frequenti flessioni, il trasporto e il sollevamento di pesi, il freddo, il rumore, il lavoro notturno e la salita su piani inclinati o scale, formulando cionondimeno un grado d'invalidità, secondo il diritto italiano, del 70%. Dal canto suo, nella perizia del 17 aprile 2008, il dott. L._______ ha rilevato che per il ginocchio sinistro, dal punto di vista funzionale, i migliori risultati possono essere ottenuti con l'impianto di una protesi totale. Il perito ha osservato che, per il ginocchio destro, l'assicurato è in attesa di un ulteriore intervento, e che, dal punto di vista prognostico, non ci sono elementi che permettano di prevedere con sufficiente attendibilità un cambiamento significativo dello stato di salute, in particolare nel senso di un miglioramento. Per quanto concerne il rachide, il perito ha precisato che i reperti clinici riscontrati, come pure quelli radiologici, rispettivamente neuro-radiologici obiettivi, non mettono in evidenza delle anomalie di rilievo e non presentano valenza invalidante, e che il ricorrente dovrebbe beneficiare di misure attive di rinforzo muscolare e stabilizzazione del tronco. Il perito ha pertanto considerato che il ricorrente può esercitare, almeno nella misura del 50%, un'attività lavorativa prevalentemente o quasi prettamente sedentaria, che non implichi l'uso di una pedaliera, l'esposizione a cambiamenti frequenti o repentini della temperatura, rispettivamente dell'umidità ambiente, spostamenti frequenti anche corti e su superfici regolari, il superamento di scale, i movimenti di flessione delle ginocchia, le posizioni accovacciate e il trasporto di pesi superiori ad un paio di chili, con la possibilità di stendere liberamente le gambe al di sotto del piano di lavoro. Il dott. H._______, riprendendo le conclusioni del dott. L._______, ha fissato, nel suo rapporto del 6 giugno 2008, un tasso d'incapacità lavorativa del 50% a decorrere dal 15 giugno 2008, per attività adeguate secondo l'esigibilità stabilita nella precitata perizia. Dal punto di vista prettamente psichiatrico, il dott. O._______ ha valutato, nella sua perizia, che il ricorrente presenta un'incapacità lavorativa generale del 20 o 30%, sottolineando che l'esercizio di un'attività lavorativa nella misura del 70 o 80% aiuterebbe sicuramente a migliorare la situazione nel suo insieme. Il dott. Q._______, medico dell'UAIE, chiamato a pronunciarsi in sede di ricorso, nei suoi rapporti del 18 agosto 2008 e 22 gennaio 2010, ha osservato che la certificazione medica esibita, in particolare il referto medico del dott. R._______ del 1° ottobre 2009, non apporta nuovi elementi di valutazione, e che, sulla base dell'incarto, è possibile effettuare una valutazione accurata del caso senza che sia necessario procedere ad ulteriori complementi di indagine. Tenuto debitamente conto dei disturbi alle ginocchia, che non sono contestati, e dei problemi psichici, il medico dell'UAIE ha concluso che il ricorrente sarebbe in grado di svolgere un'attività sedentaria leggera nella misura del 50%.</w:t>
      </w:r>
    </w:p>
    <w:p>
      <w:r>
        <w:rPr>
          <w:b/>
        </w:rPr>
        <w:t>E. 10.3</w:t>
      </w:r>
    </w:p>
    <w:p>
      <w:r>
        <w:t>Ora, alla luce delle considerazioni suesposte, il collegio giudicante può riprendere le conclusioni convincenti e documentate, espresse dai medici dell'UAIE, in merito alla capacità lavorativa del ricorrente, e concludere che, in un'attività confacente al suo stato di salute e rispettosa delle numerose limitazioni funzionali rilevate, questa può essere fissata al 50% dalla data della perizia del dott. L._______.</w:t>
      </w:r>
    </w:p>
    <w:p>
      <w:r>
        <w:rPr>
          <w:b/>
        </w:rPr>
        <w:t>E. 11.1</w:t>
      </w:r>
    </w:p>
    <w:p>
      <w:r>
        <w:t>Come esposto al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Per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11.2</w:t>
      </w:r>
    </w:p>
    <w:p>
      <w:r>
        <w:t>Nell'allegato al suo rapporto finale del 6 giugno 2008, il dott. H._______ ha indicato, come attività di sostituzione esigibili, qualsiasi attività che rispetti le limitazioni funzionali formulate dal dott. L._______ ("autres activités"), senza precisare tuttavia quali attività, tra quelle elencate nel detto allegato (cinque categorie), entrino in considerazione. Sulla base della valutazione del dott. H._______, l'UAIE ha quindi fatto riferimento al valore mediano o centrale afferente ai salari lordi standardizzati in attività semplici e ripetitive nel 2006, secondo la tabella TA1 ISS dell'UFS, di Fr. 4'732.-, adattato a 41.7 ore alla settimana, ossia Fr. 4'933.11. Così facendo, l'UAIE ha tenuto conto di un valore salariale medio che si riferisce ad attività relative al settore della costruzione, all'industria manifatturiera in generale, al settore dei trasporti e delle comunicazioni ed a altri settori dove attività compatibili con l'esigibilità della fattispecie, appaiono difficilmente reperibili. Ora, considerate le gravi limitazioni funzionali che sono state evidenziate dai medici che si sono espressi in merito alla capacità di lavoro del ricorrente, che non sono messe in discussione dall'UAIE, il ventaglio di professioni esigibili che si presenta al ricorrente è estremamente ristretto nei settori dell'industria e dei servizi. Visto l'assenza di qualsivoglia esempio concreto di attività esigibile formulata dai medici dell'UAIE, e tenuto conto del fatto che non ci si può fondare su possibilità di impiego irrealistiche, questo Tribunale non può condividere il confronto dei redditi effettuato dall'autorità inferiore (cfr. sentenza del Tribunale federale 9C_1035/2009 del 22 giugno 2010 consid.4.2.4). Occorre inoltre precisare che, a titolo eccezionale, l'autorità inferiore può anche ricorrere, anziché fondarsi sull'insieme delle attività e dei settori, ai valori inferiori dei settori economici che offrono le eventuali attività di sostituzione esigibili (cfr. sentenza del Tribunale federale U111/05 del 20 giugno 2006 consid. 3.2.3).</w:t>
      </w:r>
    </w:p>
    <w:p>
      <w:r>
        <w:rPr>
          <w:b/>
        </w:rPr>
        <w:t>E. 12</w:t>
      </w:r>
    </w:p>
    <w:p>
      <w:r>
        <w:t>Visto quanto precede, il ricorso deve essere parzialmente accolto, la decisione impugnata annullata e l'incarto rinviato all'UAIE per una definizione precisa delle attività concrete che il ricorrente sarebbe ancora in misura di svolgere dal punto di vista medico e, di conseguenza, per un nuovo raffronto dei redditi tenuto conto delle considerazioni suesposte. Vero è che, 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w:t>
      </w:r>
    </w:p>
    <w:p>
      <w:r>
        <w:rPr>
          <w:b/>
        </w:rPr>
        <w:t>E. 13</w:t>
      </w:r>
    </w:p>
    <w:p>
      <w:r>
        <w:t>Secondo l'art. 63 cpv. 1 PA, le spese processuali sono di regola messe a carico della parte soccombente. In concreto, visto l'esito della procedura, non sono prelevate spese processuali e l'anticipo di Fr. 300.-, versato il 27 novembre e il 28 dicembre 2009, è retrocesso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