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C-3931/2012 vom 30. August 2013</w:t>
      </w:r>
    </w:p>
    <w:p>
      <w:r>
        <w:t>Bundesverwaltungsgericht, 2013-08-30, FR</w:t>
      </w:r>
    </w:p>
    <w:p>
      <w:r>
        <w:rPr>
          <w:b/>
        </w:rPr>
        <w:t xml:space="preserve">Quelle: </w:t>
      </w:r>
      <w:r>
        <w:t>https://mcp.opencaselaw.ch/entscheid/bvger_C-3931_2012</w:t>
      </w:r>
    </w:p>
    <w:p>
      <w:r>
        <w:t>FR: TAF C-3931/2012 du 30 août 2013</w:t>
      </w:r>
    </w:p>
    <w:p>
      <w:r>
        <w:t>IT: TAF C-3931/2012 del 30 agosto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A._______et B._______, qui ont pris part à la procédure devant l'autorité inférieure,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Michael Beusch et Lorenz Kneubühler, Pro­zessieren vor dem Bundesverwaltungsgericht, Handbücher für die Anwaltspraxis, Tome X, Bâle 2008, p. 181, ad ch. 3.197, et Benoît Bovay, Procédure administrative, Berne 2000, p. 192 et 193, par. 6, ainsi que la jurisprudence citée). Aussi peut-elle admettre ou rejeter le pourvoi pour d'autres motifs que ceux invoqués. Dans son arrêt, elle prend en consi­dération l'état de fait régnant au moment où elle statue (cf. ATAF 2011/43 consid. 6.1 et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voir également les arrêts du Tribunal administratif fédéral C-2989/2012 du 31 janvier 2013 consid. 3 et C-4143/2012 du 11 octobre 2012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voir également l'ATF 135 II 1 consid. 1.1 et les ATAF 2011/48 consid. 4.1 et 2009/27 consid. 3, ainsi que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4.1.1</w:t>
      </w:r>
    </w:p>
    <w:p>
      <w:r>
        <w:t>Aussi, la pratique et la jurisprudence relatives à l'art. 5 LEtr, no­tamment celles concernant la garantie de sortie prévue par l'art. 5al. 2 LEtr, peuvent-elles être reprises in casu (sur les détails de cette pro­blématique, cf. ATAF 2009/27 précité, consid. 5.2 et 5.3).</w:t>
      </w:r>
    </w:p>
    <w:p>
      <w:r>
        <w:rPr>
          <w:b/>
        </w:rPr>
        <w:t>E. 4.2</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notamment pour des motifs humanitaires ou d'intérêt national ou en raison d'obligations internationales (cf. art. 12 al. 1 en relation avec art. 2 al. 4 OEV, art. 32 par. 1 en relation avec art. 25 par. 1 let. a ch. i et par. 2 du code des visas, et art. 5 par. 4 let. c du code frontières Schengen).</w:t>
      </w:r>
    </w:p>
    <w:p>
      <w:r>
        <w:rPr>
          <w:b/>
        </w:rPr>
        <w:t>E. 4.3</w:t>
      </w:r>
    </w:p>
    <w:p>
      <w:r>
        <w:t>Le Règlement (CE) no 539/2001 du Conseil du 15 mars 2001 (JOL 81 du 21 mars 2001, p. 1-7) différencie, en son art. 1 par. 1 et 2, les ressortissants des Etats tiers selon qu'ils sont soumis ou non à l'obliga­tion du visa. En tant que ressortissant dominicain, C._______ est soumis à l'obligation du visa. 5.1 Dans la décision querellée, l'ODM a refusé d'autoriser l'entrée en Suisse de C._______ au motif que son départ à l'échéance du visa sollicité n'apparaissait pas suffisamment assuré. 5.2 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 5.3 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5.4 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Tribunal C-2989/2012 précité, consid. 5.1, etC-5400/2011 du 17 août 2012 consid. 6). 5.5 A ce sujet, il faut prendre en considération la qualité de vie et les conditions économiques et sociales difficiles que connaît l'ensemble de la population de la République dominicaine, pays dont le produit intérieur brut (PIB) par habitant est estimé à 5'545 USD en 2011 (cf. www.diplomatie.gouv.fr &gt; Dossiers pays &gt; République dominicaine, mise à jour le 21 février 2013, consulté en août 2013). Dès lors, ces conditions économiques particulières ne sont pas sans exercer une pression migratoire importante. Cette tendance migratoire est encore renforcée, comme l'expérience l'a démontré, lorsque les personnes concernées peuvent s'appuyer à l'étranger sur un réseau social (parents, amis) préexistant, comme cela est le cas en l'espèce. 5.6 Toutefois, comme cela a déjà été mentionné ci-dessus, la seule situation dans le pays d'origine ne suffit pas à conclure à l'absence de garantie quant à la sortie de Suisse à l'issue du séjour, toutes les particularités du cas d'espèce devant être prises en considération (cf. ATAF 2009/27 précité, consid. 7 et 8).</w:t>
      </w:r>
    </w:p>
    <w:p>
      <w:r>
        <w:rPr>
          <w:b/>
        </w:rPr>
        <w:t>E. 6.1</w:t>
      </w:r>
    </w:p>
    <w:p>
      <w:r>
        <w:t>Sans vouloir minimiser l'importance des motifs d'ordre familial sur lesquels C._______ fonde sa demande d'autorisation d'entrée en Suisse (séjour auprès de sa soeur et de la famille de celle-ci, suite aux décès consécutifs de leur mère et de leur grand-mère), le Tribunal ne saurait admettre, au vu de l'ensemble des éléments du dossier, que la sortie de Suisse de l'intéressé au terme du visa soit suffisamment garantie.</w:t>
      </w:r>
    </w:p>
    <w:p>
      <w:r>
        <w:rPr>
          <w:b/>
        </w:rPr>
        <w:t>E. 6.2</w:t>
      </w:r>
    </w:p>
    <w:p>
      <w:r>
        <w:t>Il ressort en effet des informations figurant au dossier que l'intéressé n'a pas d'attaches particulières avec la République dominicaine, que ce soit sur le plan professionnel ou sur le plan personnel. Certes, les recourants font valoir que l'intéressé vit avec sa compagne, avec laquelle il n'est pas marié, et non loin de son autre soeur, à laquelle il est très attaché (cf. prise de position du 14 décembre 2012 ad p. 2 § 5). Le Tribunal observe cependant qu'il s'agit là de simples allégations, nullement étayées par quelque élément concret que ce soit. Ce constat vaut également pour ce qui a trait à la situation professionnelle de l'intéressé. En effet, le dossier ne contient pas davantage d'éléments, permettant de retenir que C._______ serait un avocat lié par de nombreux mandats, dont la gestion nécessiterait sa présence dans son pays d'origine. Il n'a également pas fourni la preuve qu'il retirerait de l'exercice de son activité professionnelle un revenu suffisant pour assurer ses besoins. Et s'il a certes produit la photocopie d'une carte de membre du barreau de la République dominicaine, lors de la demande de visa Schengen, force est de constater que cette carte a été délivrée pour une durée courant du 6 novembre 2009 au 6 novembre 2010 et que l'autre document fourni en copie, à savoir une carte d'identité et d'électeur délivrée en 2008, porte sous la rubrique "ocupacion" la mention "estudiante". Aussi, le Tribunal ne saurait considérer comme établi que C._______ est un avocat de profession en République dominicaine depuis près de vingt ans (cf. opposition du 18 mai 2012) et aux multiples diplômes universitaires coûteux (cf. mémoire de recours ad p. 2 § 2).</w:t>
      </w:r>
    </w:p>
    <w:p>
      <w:r>
        <w:rPr>
          <w:b/>
        </w:rPr>
        <w:t>E. 6.3</w:t>
      </w:r>
    </w:p>
    <w:p>
      <w:r>
        <w:t>Cela étant, le désir exprimé par C._______, au demeurant parfaitement compréhensible, de venir en Suisse pour y effectuer un séjour de visite auprès de sa soeur et de la famille de celle-ci ne constitue pas à lui seul un motif justifiant l'octroi d'un visa, à propos duquel il ne saurait au demeurant se prévaloir d'aucun droit (cf. supra consid. 3).</w:t>
      </w:r>
    </w:p>
    <w:p>
      <w:r>
        <w:rPr>
          <w:b/>
        </w:rPr>
        <w:t>E. 7</w:t>
      </w:r>
    </w:p>
    <w:p>
      <w:r>
        <w:t>Par ailleurs, les recourants n'ont pas invoqué de raisons susceptibles de justifier la délivrance d'un visa à validité territoriale limitée en faveur de leur invité (cf. consid. 4.2). De tels motifs ne ressortent du reste pas du dossier.</w:t>
      </w:r>
    </w:p>
    <w:p>
      <w:r>
        <w:rPr>
          <w:b/>
        </w:rPr>
        <w:t>E. 8</w:t>
      </w:r>
    </w:p>
    <w:p>
      <w:r>
        <w:t>Il sied encore de relever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leurs invités. Les assurances données en la matière, comme celles formulées notamment sur le plan financier par les recourants (cf. recours du 25 juillet 2012, courrier du 18 mai 2012),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Enfin, il convient de noter qu'un refus d'autorisation d'entrée dans l'Espace Schengen prononcé par les autorités helvétiques n'a pas en l'occurrence pour conséquence d'empêcher les requérants de maintenir des relations familiales, ceux-ci pouvant tout aussi bien se rencontrer hors de Suisse, ce nonobstant les inconvénients d'ordre pratique ou de convenance personnelle que cela pourrait engendrer.</w:t>
      </w:r>
    </w:p>
    <w:p>
      <w:r>
        <w:rPr>
          <w:b/>
        </w:rPr>
        <w:t>E. 9</w:t>
      </w:r>
    </w:p>
    <w:p>
      <w:r>
        <w:t>Au vu de l'ensemble des circonstances, le Tribunal estime qu'il ne saurait être reproché à l'ODM d'avoir considéré que le départ de Suisse de C._______ à l'échéance du visa requis n'est pas suffisamment assuré et, partant, d'avoir refusé la délivrance d'une autorisation d'entrée dans l'Espace Schengen en sa faveur.</w:t>
      </w:r>
    </w:p>
    <w:p>
      <w:r>
        <w:rPr>
          <w:b/>
        </w:rPr>
        <w:t>E. 10</w:t>
      </w:r>
    </w:p>
    <w:p>
      <w:r>
        <w:t>Il s'ensuit que, par sa décision du 29 juin 2012, l'ODM n'a ni violé le droit fédéral, ni constaté des faits pertinents de manière inexacte ou incomplète; en outre, cette décision n'est pas inopportune (art. 49 PA). En conséquence, le recours est rejeté.</w:t>
      </w:r>
    </w:p>
    <w:p>
      <w:r>
        <w:rPr>
          <w:b/>
        </w:rPr>
        <w:t>E. 11</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