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C-3929/2012 vom 9. April 2013</w:t>
      </w:r>
    </w:p>
    <w:p>
      <w:r>
        <w:t>Bundesverwaltungsgericht, 2013-04-09, DE</w:t>
      </w:r>
    </w:p>
    <w:p>
      <w:r>
        <w:rPr>
          <w:b/>
        </w:rPr>
        <w:t xml:space="preserve">Quelle: </w:t>
      </w:r>
      <w:r>
        <w:t>https://mcp.opencaselaw.ch/entscheid/bvger_C-3929_2012</w:t>
      </w:r>
    </w:p>
    <w:p>
      <w:r>
        <w:t>FR: TAF C-3929/2012 du 9 avril 2013</w:t>
      </w:r>
    </w:p>
    <w:p>
      <w:r>
        <w:t>IT: TAF C-3929/2012 del 9 aprile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(Art. 37 VGG).</w:t>
      </w:r>
    </w:p>
    <w:p>
      <w:r>
        <w:rPr>
          <w:b/>
        </w:rPr>
        <w:t>E. 1.3</w:t>
      </w:r>
    </w:p>
    <w:p>
      <w:r>
        <w:t>Art. 48 VwVG legt fest, dass zur Erhebung einer Beschwerde berechtigt ist, wer vor der Vorinstanz am Verfahren teilgenommen hat oder keine Möglichkeit zur Teilnahme erhalten hat (Bst. a), wer durch die angefochtene Verfügung besonders berührt ist (Bst. b) und wer ein schutzwürdiges Interesse an deren Aufhebung oder Änderung hat (Bst. c). Als erste Voraussetzung nennt Art. 48 Abs. 1 Bst. a VwVG die sog. formelle Beschwer. Dies bedeutet, dass die beschwerdeführende Person am vorinstanzlichen Verfahren teilgenommen haben muss, soweit sie dazu in der Lage war, und mit ihren Anträgen ganz oder teilweise unterlegen sein muss (vgl. Vera Marantelli-Sonanini/Said Huber, in: Waldmann/Weissenberger [Hrsg.], Praxiskommentar VwVG, Zürich 2009, Art. 48 N 22; Isabelle Häner, in: Auer/Müller/Schindler [Hrsg.], Kommentar zum Bundesgesetz über das Verwaltungsverfahren [VwVG], Zürich 2008, Rz. 6 zu Art. 48). Ob diese Voraussetzung im vorliegenden Fall erfüllt ist, ist fraglich (vgl. das Urteil des Bundesverwaltungsgerichts C 6404/2011 vom 25. Mai 2012 E. 1.3): Die Einsprache wurde vom Gesuchsteller bei der Schweizer Vertretung eingereicht. Der Beschwerdeführer selber hat keine Einsprache gemacht. Allerdings war er insofern am Einspracheverfahren beteiligt, als er mittels dem ihm vom kantonalen Migrationsamt zugestellten Fragebogen bei der Sachverhaltsfeststellung mitwirkte. Darin erklärte er sinngemäss, man möge den Gesuchsteller in die Schweiz einreisen lassen, damit er, als Pate seines Sohnes, diesen in der Schweiz besuchen könne. Ob dies genügt, um von der formellen Beschwer auszugehen, kann jedoch angesichts des Ausgangs des Verfahrens und unter Berücksichtigung der Tatsache, dass die übrigen formellen Voraussetzungen erfüllt sind (vgl. Art. 48 Abs. 1 Bst. b und c VwVG, Art. 50 und 52 VwVG), offen gelassen werden. Überdies hat auch die Vorinstanz, indem sie den Einspracheentscheid einzig an den Beschwerdeführer adressiert hat und nicht etwa an diesen zu Handen des Einsprechers an die von ihm angegebenen Zustelladresse in der Schweiz (d.h. die Adresse des Beschwerdeführers), dem Beschwerdeführer den Eindruck vermittelt, er sei ohne Weiteres zur Beschwerde berechtigt. Daher rechtfertigt es sich, auf die Beschwerde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2011/1 E. 2 mit Hinweis).</w:t>
      </w:r>
    </w:p>
    <w:p>
      <w:r>
        <w:rPr>
          <w:b/>
        </w:rPr>
        <w:t>E. 3</w:t>
      </w:r>
    </w:p>
    <w:p>
      <w:r>
        <w:t>Die angefochtene Verfügung bezieht sich auf das Visumsgesuch eines kosovarischen Staatsangehörigen, der für dreissig Tage in die Schweiz kommen möchte. Da sich dieser nicht auf die EU/EFTA-Personen­freizügigkeitsabkommen berufen kann und die beabsichtigte Aufenthaltsdauer drei Monate nicht überschreitet, fällt sein Gesuch in den Anwendungsbereich der Schengen-Assoziierungsabkommen, mit denen die Schweiz den Schengen-Besitzstand und die dazugehörigen gemeinschaftsrechtlichen Rechtsakte übernommen hat. Das Ausländergesetz vom 16. Dezember 2005 (AuG, SR 142.20) und seine Ausführungsverordnungen gelangen nur soweit zur Anwendung, als die Schengen-Assoziierungsabkommen keine abweichenden Bestimmungen enthalten (Art. 2 Abs. 2 - 5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aber die abweichende Auffassung von Philipp Egli/Tobias D. Meyer, in: Caroni/Gächter/Thurnherr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Staatsangehörige gewisser Länder benötigen zudem ein Visum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1 - 32] und Art. 2 der Verordnung [EG] Nr. 562/2010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1 - 4]).</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 - 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der Kosovo zu diesen Staaten zählt, unterliegt der Gesuchsteller der Visumspflicht.</w:t>
      </w:r>
    </w:p>
    <w:p>
      <w:r>
        <w:rPr>
          <w:b/>
        </w:rPr>
        <w:t>E. 6</w:t>
      </w:r>
    </w:p>
    <w:p>
      <w:r>
        <w:t>Im vorliegenden Fall hat die Vorinstanz bezweifelt, dass der Gesuchsteller die Schweiz bzw. den Schengen-Raum wieder anstandslos verlassen würde, und dies mit seinem Verhalten in der Vergangenheit sowie seinen persönlichen Verhältnissen begründet. Zu der somit im Vordergrund stehenden Frage der gesicherten Wiederausreise können jedoch lediglich Prognosen getroffen werden. Anhaltspunkte können sich zunächst aus der allgemeinen Situation im Herkunftsland ergeben. Einreisegesuche von Bürgerinnen und Bürger aus Staaten bzw. Regionen mit politisch oder wirtschaftlich vergleichsweise ungünstigen Verhältnissen können darauf hindeuten, dass die persönliche Interessenlage in solchen Fällen nicht mit dem Ziel und Zweck einer zeitlich befristeten Einreisebewilligung im Einklang stehen.</w:t>
      </w:r>
    </w:p>
    <w:p>
      <w:r>
        <w:rPr>
          <w:b/>
        </w:rPr>
        <w:t>E. 6.1</w:t>
      </w:r>
    </w:p>
    <w:p>
      <w:r>
        <w:t>Bis heute hat sich an der allgemeinen Situation im Kosovo nichts geändert (vgl. Urteil des Bundesverwaltungsgerichts C 1880/2012 vom 6. Juni 2012 E. 5.3 mit Hinweisen; s. auch: www.auswaertiges-amt.de Reise &amp; Sicherheit Reise- und Sicherheitshinweise: Länder A - Z Kosovo Wirtschaftspolitik. Stand September 2012, besucht am 25. März 2013).</w:t>
      </w:r>
    </w:p>
    <w:p>
      <w:r>
        <w:rPr>
          <w:b/>
        </w:rPr>
        <w:t>E. 6.2</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 Erfahrungsgemäss wird die Tendenz zur Auswanderung dort noch begünstigt, wo bereits ein soziales Beziehungsnetz (Verwandte, Freunde) im Ausland besteht.</w:t>
      </w:r>
    </w:p>
    <w:p>
      <w:r>
        <w:rPr>
          <w:b/>
        </w:rPr>
        <w:t>E. 6.3</w:t>
      </w:r>
    </w:p>
    <w:p>
      <w:r>
        <w:t>Der Gesuchsteller ist 44 Jahre alt, lebt mit seiner Ehefrau im Kosovo und ist arbeitslos. Er hat sodann, entgegen seinen Behauptungen bei der Schweizerischen Vertretung, wonach er noch nie ein Gesuch um Einreisebewilligung eingereicht habe, in den Jahren 2002 bis 2006 wiederholt ein Visum beantragt, welches ihm jedoch stets verweigert wurde. Verpflichtungen des Gesuchstellers, welche nachhaltig von einer Emigration abhalten könnten, sind aus den Akten keine ersichtlich. Zeigt doch die Erfahrung, dass selbst Frau und Kinder nicht von einer Emigration abhalten können, nicht zuletzt weil diese im Rahmen eines späteren Familiennachzugs die Möglichkeit hätten, dem Gesuchsteller in die Schweiz zu folgen. Der Umstand, dass der Gesuchsteller in seiner Heimat nicht einmal seinen eigenen Lebensunterhalt verdienen kann und er hinsichtlich seiner finanziellen Verhältnisse keine Angaben macht, verstärkt die Befürchtung, er könnte einen künftigen Verbleib in der Schweiz beabsichtigen. Hinzu kommt, dass bereits drei Schwestern und zwei Brüder den Weg der Emigration vorangegangen sind und nun in der Schweiz leben.</w:t>
      </w:r>
    </w:p>
    <w:p>
      <w:r>
        <w:rPr>
          <w:b/>
        </w:rPr>
        <w:t>E. 6.4</w:t>
      </w:r>
    </w:p>
    <w:p>
      <w:r>
        <w:t>Der Beschwerdeführer macht in seiner Rechtsmitteleingabe lediglich geltend, er garantiere, dass die Ausreise aus der Schweiz fristgerecht erfolgen werde und er für die finanziellen Aufwendungen während des Aufenthaltes aufkommen werde. Bei der Risikoanalyse bezüglich der Wiederausreise des Gesuchstellers stehen nicht die guten Absichten des Gastgebers an der Einhaltung der Vorschriften - an denen zu zweifeln kein Anlass besteht - im Zentrum, sondern vielmehr das aufgrund der Analyse der Gesamtumstände mögliche Verhalten des Gastes. Dieses kann vom Beschwerdeführer jedoch nur beschränkt beeinflusst werden. Mangels rechtlicher und faktischer Durchsetzbarkeit kann der Beschwerdeführer nicht für ein bestimmtes Verhalten des Gesuchstellers Garantie leisten, sondern nur für finanzielle Belange (BVGE 2009/27 E. 9). Das Fehlen einer der Einreisevoraussetzungen kann deshalb durch die Zusicherung des Beschwerdeführers, im Falle der nicht fristgerechten Wiederausreise für das Verhalten des Gesuchstellers zu haften, nicht kompensiert werden.</w:t>
      </w:r>
    </w:p>
    <w:p>
      <w:r>
        <w:rPr>
          <w:b/>
        </w:rPr>
        <w:t>E. 7</w:t>
      </w:r>
    </w:p>
    <w:p>
      <w:r>
        <w:t>Insgesamt ist somit mit der Vorinstanz davon auszugehen, dass die fristgerechte und anstandslose Wiederausreise angesichts der allgemeinen Lage im Kosovo insbesondere aber unter Berücksichtigung der persönlichen Situation des Gesuchstellers nicht als hinreichend gesichert anzusehen ist. Gründe, die es erlauben würden, ein Visum mit räumlich beschränkter Gültigkeit auszustellen (vgl. E. 4.5), werden vorliegend nicht geltend gemacht und sind auch aus den Akten nicht ersichtlich. Die Beschwerde ist daher abzuweisen.</w:t>
      </w:r>
    </w:p>
    <w:p>
      <w:r>
        <w:rPr>
          <w:b/>
        </w:rPr>
        <w:t>E. 8</w:t>
      </w:r>
    </w:p>
    <w:p>
      <w:r>
        <w:t>Bei diesem Ausgang des Verfahrens sind die Kosten dem Beschwerdeführer aufzuerlegen (vgl. Art. 63 Abs. 1 VwVG i.V.m. Art. 1 und Art. 3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