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C-3928/2009 vom 16. Mai 2011</w:t>
      </w:r>
    </w:p>
    <w:p>
      <w:r>
        <w:t>Bundesverwaltungsgericht, 2011-05-16, DE</w:t>
      </w:r>
    </w:p>
    <w:p>
      <w:r>
        <w:rPr>
          <w:b/>
        </w:rPr>
        <w:t xml:space="preserve">Quelle: </w:t>
      </w:r>
      <w:r>
        <w:t>https://mcp.opencaselaw.ch/entscheid/bvger_C-3928_2009</w:t>
      </w:r>
    </w:p>
    <w:p>
      <w:r>
        <w:t>FR: TAF C-3928/2009 du 16 mai 2011</w:t>
      </w:r>
    </w:p>
    <w:p>
      <w:r>
        <w:t>IT: TAF C-3928/2009 del 16 maggio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Der angefochtenen Verfügung liegt das Gesuch eines ägyptischen Staatsangehörigen um Erteilung eines Visums für einen 14-tägigen Aufenthalt in der Schweiz zu Grunde. Da sich der Gesuchsteller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Bundesgesetz vom 16. Dezember 2005 über die Ausländerinnen und Ausländer (AuG, SR 142.20) und seine Ausführungsverordnung gelangen nur soweit zur Anwendung, als die Schengen-Assoziierungsabkommen keine abweichenden Bestimmungen enthalten (Art. 2 Abs. 2 bis 5 AuG).</w:t>
      </w:r>
    </w:p>
    <w:p>
      <w:r>
        <w:rPr>
          <w:b/>
        </w:rPr>
        <w:t>E. 4.1</w:t>
      </w:r>
    </w:p>
    <w:p>
      <w:r>
        <w:t>Gemäss Art. 19 der Verordnung vom 22. Oktober 2008 über die Einreise und die Visumerteilung (VEV, SR 142.204) widerruft die für die Kontrolle der Einreisevoraussetzungen zuständige Behörde ein ausgestelltes Visum nach den Weisungen des BFM, wenn festgestellt wird, dass die Einreisevoraussetzungen nach Artikel 2 VEV nicht mehr erfüllt sind (Bst. a) oder sich nachträglich herausstellt, dass die Voraussetzungen für die Visumerteilung nicht erfüllt waren (Bst. b) oder die Inhaberin oder der Inhaber des Visums zum Zwecke der Einreiseverweigerung im Schengener Informationssystem SIS ausgeschrieben ist (Bst. c). Eine vergleichbare Norm findet sich in Art. 34 Ver­ordnung [EG] Nr. 810/2009 des Euro­pä­ischen Parlaments und des Ra­tes vom 13. Juli 2009 über einen Visa­kodex der Gemeinschaft (nach­folgend: Visakodex). Dieser sieht die Annullierung bzw. die Aufhebung des Visums vor, wenn sich herausstellt, dass die Voraussetzungen für seine Erteilung zum Ausstellungszeitpunkt nicht erfüllt waren (Abs. 1) bzw. nicht mehr erfüllt sind (Abs. 2). Dasselbe gilt für den Widerruf einer Ermächtigung zur Ausstellung eines Visums.</w:t>
      </w:r>
    </w:p>
    <w:p>
      <w:r>
        <w:rPr>
          <w:b/>
        </w:rPr>
        <w:t>E. 4.2</w:t>
      </w:r>
    </w:p>
    <w:p>
      <w:r>
        <w:t>Diese vergleichsweise tiefen Anforderungen an die Zulässigkeit des Widerrufs eines Visums bzw. der Ermächtigung dazu (zum Widerruf allgemein vgl. BVGE 2007/29 E. 4) sind Ausdruck der Tatsache, dass das Visum weder eine Bewilligung zur Einreise noch gar zur Anwesenheit darstellt. Es bestätigt einzig und alleine im Sinne einer Momentaufnahme, dass im Zeitpunkt seiner Erteilung die Einreisevoraussetzungen als erfüllt erachtet wurden. Insoweit dient es der behördlichen Kontrolle (vgl. BGE 131 IV 174 E. 4.2.2 S. 180 f. mit Hinweisen). Dementsprechend muss eine visumspflichtige ausländische Person neben dem Visum stets auch die übrigen Einreisevoraussetzungen erfüllen, will sie sich nicht dem Vorwurf der rechtswidrigen Einreise und des rechtswidrigen Aufenthalts aussetzen (vgl. Art. 5 AuG, ferner Art. 5 Abs. 1 der Ver­ordnung [EG] Nr. 562/2006 des Euro­päischen Parlaments und des Ra­tes vom 15. März 2006 über einen Gemeinschaftskodex für das Über­schreiten der Gren­zen durch Per­sonen [nachfolgend: Schengener Grenzkodex, SGK], Art. 30 Visakodex, Art. 19 des Übereinkommens vom 19. Juni 1990 zur Durchführung des Übereinkommens von Schengen zwischen den Regierungen der Staaten der Benelux-Wirtschaftsunion, der Bundesrepublik Deutschland und der Französischen Republik betreffend den schrittweisen Abbau der Kontrollen an den gemeinsamen Grenzen [Schengener Durchführungsübereinkommen, SDÜ, ABl. L 239 vom 22. September 2000, S. 19]).</w:t>
      </w:r>
    </w:p>
    <w:p>
      <w:r>
        <w:rPr>
          <w:b/>
        </w:rPr>
        <w:t>E. 4.3</w:t>
      </w:r>
    </w:p>
    <w:p>
      <w:r>
        <w:t>Im Rahmen des vorliegenden Streitsache ist somit zu prüfen, ob die Einreisevoraussetzungen erfüllt sind. Sind sie es nicht, ist der Widerruf der Ermächtigung zur Visumserteilung zu schützen. Ob und in welchem Umfang der Behörde das Fehlen der Einreisevoraussetzungen zum Zeitpunkt der Ermächtigung bereits bekannt war bzw. bei pflichtgemässer Aufmerksamkeit hätte bekannt sein müssen, schränkt die Zulässigkeit des Widerrufs nicht ein. Dies kann schon deshalb nicht der Fall sein, weil die einzelstaatlichen Behörden nicht nur die eigenen nationalen Interessen zu wahren haben, sondern als Sachwalter der Interessen aller Schengen-Staaten auftreten. Allerdings ist nicht zum vornherein ausgeschlossen, dass die ausländische Person, welche die Behörde vollständig und wahrheitsgemäss informiert hat, gestützt auf Treu und Glauben eine Entschädigung für nutzlos gewordene Dispositionen verlangen kann, die sie im berechtigten Vertrauen auf ein Visum getroffen hat, welches die Behörde ohne neue tatbeständliche Erkenntnisse allein gestützt auf eine andere rechtliche Würdigung des bereits bekannten Sachverhalts zurückgenommen hat (vgl. Ulrich Häfelin / Georg Müller / Felix Uhlmann, Allgemeines Verwaltungsrecht, 6. Aufl., Zürich / Basel / Genf 2010, Rz. 703 mit Hinweisen). Eine solche Konstellation ist in casu jedoch nicht gegeben, sodass sich weitere Ausführungen dazu erübrigen.</w:t>
      </w:r>
    </w:p>
    <w:p>
      <w:r>
        <w:rPr>
          <w:b/>
        </w:rPr>
        <w:t>E. 5</w:t>
      </w:r>
    </w:p>
    <w:p>
      <w:r>
        <w:t>Die Voraussetzungen für die Erteilung eines Visums präsentieren sich wie folgt:</w:t>
      </w:r>
    </w:p>
    <w:p>
      <w:r>
        <w:rPr>
          <w:b/>
        </w:rPr>
        <w:t>E. 5.1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nur insoweit ein, als es einheitliche Voraussetzungen für Einreise und Visum aufstellt und die Mitgliedstaaten verpflichtet, die Einreise bzw. das Visum zu verweigern, wenn die Voraussetzungen nicht erfüllt sind. Einen Anspruch auf Einreise bzw. Visum vermittelt das Schengen-Recht nicht (a.M. Philipp Egli / Tobias D. Meyer, in: Martina Caroni / Thomas Gächter / Daniela Thurnherr [Hrsg.], Stämpflis Handkommentar zum Bundesgesetz über die Ausländerinnen und Ausländer, Bern 2010, Art. 5 N. 3 f.).</w:t>
      </w:r>
    </w:p>
    <w:p>
      <w:r>
        <w:rPr>
          <w:b/>
        </w:rPr>
        <w:t>E. 5.2</w:t>
      </w:r>
    </w:p>
    <w:p>
      <w:r>
        <w:t>Angehörige von Drittstaaten dürfen über die Aussengrenzen des Schengen-Raums für einen Aufenthalt von höchstens drei Monaten je Sechsmonatszeitraums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VEV i.V.m. Art. 5 Abs. 1 Bst. a und b SGK, Art. 4 VEV).</w:t>
      </w:r>
    </w:p>
    <w:p>
      <w:r>
        <w:rPr>
          <w:b/>
        </w:rPr>
        <w:t>E. 5.3</w:t>
      </w:r>
    </w:p>
    <w:p>
      <w:r>
        <w:t>Im Weiteren müssen Drittstaatsangehörige den Zweck und die Um­stände ihres beabsichtigten Aufenthalts belegen und hierfür über aus­reichende finanzielle Mittel verfügen (Art. 5 Abs. 1 Bst. b AuG, Art. 5 Abs. 1 Bst. c SGK und Art. 14 Abs. 1 Bst. a-c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5.4</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6.1</w:t>
      </w:r>
    </w:p>
    <w:p>
      <w:r>
        <w:t>Der Gesuchsteller unterliegt als ägyptischer Staatsangehöriger der Visumspflicht (Anhang I zur Verordnung (EG) Nr. 539/2001 des Rates vom 15. März 2001). Bei der Prüfung der Einreisevoraussetzungen nach Art. 5 Abs. 1 SGK steht die Frage der gesicherten Wiederausreise im Vordergrund, welche die Vorinstanz gestützt auf neue Erkenntnisse anzweifelt. Dazu lassen sich in der Re­gel keine gesicherten Feststellungen, sondern lediglich Prognosen treffen. Da­bei sind sämtliche Umstände des konkreten Einzelfalles zu würdigen.</w:t>
      </w:r>
    </w:p>
    <w:p>
      <w:r>
        <w:rPr>
          <w:b/>
        </w:rPr>
        <w:t>E. 6.2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Bei der Risikoanalyse sind allerdings nicht nur die erwähnten all­gemeinen Umstände und Erfahrungen, sondern auch sämtliche Gesichts­punkte des konkreten Einzelfalles zu berücksichtigen.</w:t>
      </w:r>
    </w:p>
    <w:p>
      <w:r>
        <w:rPr>
          <w:b/>
        </w:rPr>
        <w:t>E. 6.3.1</w:t>
      </w:r>
    </w:p>
    <w:p>
      <w:r>
        <w:t>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6.3.2</w:t>
      </w:r>
    </w:p>
    <w:p>
      <w:r>
        <w:t>Negative Anhaltspunkte zur Beurteilung der Gewähr für eine fristgerechte Wiederausreise können sich aber auch daraus ergeben, dass die Person des Gastgebers nicht vertrauenswürdig ist (vgl. Visahandbuch I Ziff. 7.12, online abrufbar unter: www.bfm.admin.ch Dokumentation Rechtliche Grundlagen Weisungen und Kreisschreiben VII. Visa). Daran vermag nichts zu ändern, dass umgekehrt die gegebene Vertrauenswürdigkeit des Gastgebers sich auf andere Elemente stützende Zweifel am rechtskonformen Verhalten des Gastes grundsätzlich nicht beseitigen kann (vgl. statt vieler: Urteil des Bundesverwaltungsgerichts C 783/2010 vom 19. Oktober 2010 E. 6.4).</w:t>
      </w:r>
    </w:p>
    <w:p>
      <w:r>
        <w:rPr>
          <w:b/>
        </w:rPr>
        <w:t>E. 7</w:t>
      </w:r>
    </w:p>
    <w:p>
      <w:r>
        <w:t>Eine Prüfung der vorliegenden Streitsache auf der Grundlage der genannten Kriterien führt zu folgenden Feststellungen:</w:t>
      </w:r>
    </w:p>
    <w:p>
      <w:r>
        <w:rPr>
          <w:b/>
        </w:rPr>
        <w:t>E. 7.1</w:t>
      </w:r>
    </w:p>
    <w:p>
      <w:r>
        <w:t>Ägypten ist heute nach Südafrika das am stärksten industrialisierte Land Afrikas (die Industrie hat inzwischen 35 Prozent Anteil am BSP). Auch scheint das Land die Auswirkungen der Weltwirtschaftskrise be­reits weitgehend überstanden zu haben. So stiegen die Werte für das Wirt­schaftswachstum seit Anfang 2009 wieder kontinuierlich an und la­gen am Jahresende bei 5,1 Prozent. Haupteinnahmequellen des Lan­des sind - in dieser Reihenfolge - die Förderung und der Export von Erdöl und Erdgas, der Tourismus, die Rücküberweisungen der ägypti­schen Arbeitnehmer im Ausland sowie die Einnahmen aus dem Suez-Ka­nal. Die an dritter Stelle stehenden Überweisungen von Auslands­ägyptern machen rund vier Prozent des Bruttoinlandprodukts aus. Anzu­merken ist hierbei, dass diese von der ägyptischen Zentralbank erfass­ten Zahlungsströme vermutlich nur die Hälfte der tatsächlich erfolg­ten Transfers abbilden. Ein drängendes Problem zeigt sich allerdings in der Beschäftigungs­lage. Der ägyptische Arbeitsmarkt muss - bei einer Arbeitslosenquote von 9,4 Prozent - jährlich bis zu 750'000 Schul- und Universitätsabgän­ger absorbieren. Die Konjunkturprogramme der Regierung haben bisher nicht den erhofften Beschäftigungseffekt gebracht. Die Arbeitslosigkeit unter jungen Menschen beträgt Schätzungen zufolge über 25 Prozent (vgl. dazu: Urteil C-3348/2009 des Bundesverwaltungsgerichts vom 16. November 2010, E. 8.1). Der Trend zur Auswanderung zeigt sich erfahrungsgemäss dort beson­ders stark, wo durch die Anwesenheit von Verwandten oder Freunden bereits ein minimales Bezie­hungsnetz im Ausland besteht. Im Fall der Schweiz führt dies angesichts der restriktiven Zulassungsregelung nicht selten zur Um­gehung ausländerrechtlicher Bestimmungen. Diese Aus­gangslage dürfte sich nach den Unruhen von Anfang Jahr, dem da­mit zusammenhängenden Einbruch im für Ägypten wichtigen Touris­mus­sektor und den unsicheren Zukunftsaussichten noch verschärft ha­ben.</w:t>
      </w:r>
    </w:p>
    <w:p>
      <w:r>
        <w:rPr>
          <w:b/>
        </w:rPr>
        <w:t>E. 7.2</w:t>
      </w:r>
    </w:p>
    <w:p>
      <w:r>
        <w:t>Beim Gesuchsteller handelt es sich um einen 34-jährigen, ledigen und kinderlosen jungen Mann. In seinen persönlichen Verhältnissen sind weder familiäre noch sonstige Verpflichtungen zu erkennen, die ihn an seine angestammte Umgebung binden könnten. Entsprechend gross dürfte seine Flexibilität sein, wenn es um die Wahl der künftigen Lebensgestaltung geht.</w:t>
      </w:r>
    </w:p>
    <w:p>
      <w:r>
        <w:rPr>
          <w:b/>
        </w:rPr>
        <w:t>E. 7.3</w:t>
      </w:r>
    </w:p>
    <w:p>
      <w:r>
        <w:t>Gemäss seinem Visumsantrag und auch nach den Vorbringen der Beschwerdeführerin geht der Gesuchsteller in beruflicher Hinsicht einer Tätigkeit als Chefkoch in einem Hotel in Hurghada am Roten Meer nach. Über die wirtschaftlichen Verhältnisse, in denen er sich befindet, ist allerdings nichts bekannt. Tritt hinzu, dass sich die Beschäftigungssituation als Folge der erwähnten politischen Umwälzungen gerade im Tourismussektor dramatisch verschlechtert hat. Die Buchungen von Ferienreisen sind aufgrund der unsicheren Lage eingebrochen und viele Hotels mussten geschlossen werden. Dass dies Auswirkungen auf die Beschäftigungslage hat, versteht sich von selbst.</w:t>
      </w:r>
    </w:p>
    <w:p>
      <w:r>
        <w:rPr>
          <w:b/>
        </w:rPr>
        <w:t>E. 7.4</w:t>
      </w:r>
    </w:p>
    <w:p>
      <w:r>
        <w:t>Schliesslich ist darauf hinzuweisen, dass die Beschwerdeführerin als Gastgeberin des Gesuchstellers in ausländerrechtlicher Hinsicht nachteilig in Erscheinung getreten ist.</w:t>
      </w:r>
    </w:p>
    <w:p>
      <w:r>
        <w:rPr>
          <w:b/>
        </w:rPr>
        <w:t>E. 7.4.1</w:t>
      </w:r>
    </w:p>
    <w:p>
      <w:r>
        <w:t>Die Beschwerdeführerin ging am 24. Mai 2006 die Ehe mit einem Staatsangehörigen aus der Republik Kosovo ein. Dieser hatte sich schon zwischen 1991 und 1999 als Asylbewerber in der Schweiz aufgehalten. Sein neuerliches, im März 2006 eingereichtes Asylgesuch wurde mit Verfügung vom 6. April 2006 abgewiesen und er wurde unter Fristansetzung aus der Schweiz weggewiesen. Weil es den Verdacht auf eine Scheinehe hegte, beauftragte das Migrationsamt des Kantons Thurgau in der Folge die Kantonspolizei mit einer Einvernahme der Eheleute. In der am 13. September 2006 durchgeführten Befragung stellte die Beschwerdeführerin in Abrede, dass sie eine Scheinehe eingegangen sei und behauptete auf diverse Fragen, mit dem Ehemann in ihrem Haushalt zusammen zu leben (Antworten auf Fragen Nr. 8 und Nr. 23 ff.). Dabei äusserte sie sich detailliert zu Gemeinsamkeiten im Tagesablauf, in der Freizeitgestaltung und zur Regelung der Finanzen. In ihrer am 8. November 2007 bei der zuständigen Instanz eingereichten Scheidungsklage brachte die Beschwerdeführerin demgegenüber vor, ihr Ehemann habe nach der Hochzeit nie bei ihr gewohnt, so dass das Hochzeitsdatum gleichzeitig das Trennungsdatum darstelle. Bei dieser Sachlage kann der Beschwerdeführerin nicht einseitig eine Opferrolle zuerkannt werden, wie dies die Vorinstanz offenbar tut. Vielmehr hat die Beschwerdeführerin die kantonale Migrationsbehörde von Anfang an und während längerer Zeit über den Bestand einer ehelichen Beziehung getäuscht. Dass sie es war, die die Behörden schliesslich doch noch über die wahren Verhältnisse ins Bild setzte, ändert daran nichts.</w:t>
      </w:r>
    </w:p>
    <w:p>
      <w:r>
        <w:rPr>
          <w:b/>
        </w:rPr>
        <w:t>E. 7.4.2</w:t>
      </w:r>
    </w:p>
    <w:p>
      <w:r>
        <w:t>Auch im Zusammenhang mit dem zu beurteilenden Visumverfahren erscheinen die von der Beschwerdeführerin deklarierten Motive für die Einladung nicht über jeden Zweifel erhaben. Die Beschwerdeführerin hat den Gesuchsteller nach eigenen Angaben im Herbst 2007 als einen von mehreren Angestellten eines Hotels kennen gelernt. Dabei hat er sie und ihre Familie offenbar auf Ausflügen begleitet. In der Folge soll es noch wiederholt zu gleichartigen Begegnungen anlässlich von weiteren Ferienaufenthalten gekommen sein. Die Beschwerdeführerin bezeichnet das Verhältnis zum Gesuchsteller als kollegial. Dass sie sich für die - aller Wahrscheinlichkeit nach entgeltlichen - Dienstleistungen mit einer Einladung in die Schweiz revanchieren will, liegt nicht auf der Hand. Die Einladung erscheint umso weniger verständlich, als die Beschwerdeführerin in ihrer schriftlichen Auskunft vom 6. April 2009 an die Adresse der kantonalen Migrationsbehörde festhielt, sie habe kein Geld auf der Bank und bürge mit dem von ihr bewohnten Einfamilienhaus.</w:t>
      </w:r>
    </w:p>
    <w:p>
      <w:r>
        <w:rPr>
          <w:b/>
        </w:rPr>
        <w:t>E. 8</w:t>
      </w:r>
    </w:p>
    <w:p>
      <w:r>
        <w:t>Eine gesamthafte Würdigung führt das Bundesverwaltungsgericht zum Ergebnis, dass beim Gesuchsteller keine hinreichende Gewähr für eine fristgerechte und anstandslose Wiederausreise nach einem Besuchsaufenthalt besteht. Eine der zentralen Voraussetzungen für die Ausstellung eines einheitlichen Visums ist folglich nicht erfüllt. Ebenso wenig sind Gründe gegeben, welche die Schweiz nach Massgabe von Art. 25 Visakodex zur ausnahmsweisen Erteilung eines Visums mit räumlich beschränkter Gültigkeit berechtigen würden (vgl. oben Ziff. 5.4). Die angefochtene Verfügung ist somit im Lichte von Art. 49 VwVG nicht zu beanstanden, und die Beschwerde ist abzuweisen.</w:t>
      </w:r>
    </w:p>
    <w:p>
      <w:r>
        <w:rPr>
          <w:b/>
        </w:rPr>
        <w:t>E. 9</w:t>
      </w:r>
    </w:p>
    <w:p>
      <w:r>
        <w:t>Entsprechend dem Ausgang des Verfahrens wird die unter­liegende Beschwerdeführerin kostenpflichtig (Art. 63 Abs. 1 VwVG, Art. 1, 2 und 3 Bst. b des Reglements vom 21. Februar 2008 über die Kosten und Ent­schädigungen vor dem Bundesverwaltungsgericht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