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C-3922/2014 vom 16. Juli 2015</w:t>
      </w:r>
    </w:p>
    <w:p>
      <w:r>
        <w:t>Bundesverwaltungsgericht, 2015-07-16, IT</w:t>
      </w:r>
    </w:p>
    <w:p>
      <w:r>
        <w:rPr>
          <w:b/>
        </w:rPr>
        <w:t xml:space="preserve">Quelle: </w:t>
      </w:r>
      <w:r>
        <w:t>https://mcp.opencaselaw.ch/entscheid/bvger_C-3922_2014</w:t>
      </w:r>
    </w:p>
    <w:p>
      <w:r>
        <w:t>FR: TAF C-3922/2014 du 16 juillet 2015</w:t>
      </w:r>
    </w:p>
    <w:p>
      <w:r>
        <w:t>IT: TAF C-3922/2014 del 16 luglio 2015</w:t>
      </w:r>
    </w:p>
    <w:p>
      <w:pPr>
        <w:pStyle w:val="Heading2"/>
      </w:pPr>
      <w:r>
        <w:t>Regeste</w:t>
      </w:r>
    </w:p>
    <w:p>
      <w:r>
        <w:t>Divieto d'entrata</w:t>
      </w:r>
    </w:p>
    <w:p>
      <w:pPr>
        <w:pStyle w:val="Heading2"/>
      </w:pPr>
      <w:r>
        <w:t>Erwägungen</w:t>
      </w:r>
    </w:p>
    <w:p>
      <w:r>
        <w:rPr>
          <w:b/>
        </w:rPr>
        <w:t>E. 8.1</w:t>
      </w:r>
    </w:p>
    <w:p>
      <w:r>
        <w:t>L'autorità inferiore ha pronunciato il divieto d'entrata oggetto di questa procedura in quanto ha considerato che i comportamenti tenuti dalla ricorrente rappresentassero una violazione grave dell'ordine e la sicurezza pubblici ai sensi dell'art. 67 LStr. Orbene, come si è visto, dalla documentazione agli atti risulta che la ricorrente è stata condannata per esercizio illecito della prostituzione e infrazione alla LStr, per avere nel periodo compreso tra il (...) e il (...) esercitato il meretricio senza i relativi permessi (cfr. decreto d'accusa del Ministero pubblico del Canton Ticino del 28 maggio 2012, DA 2589/2012 agli atti).</w:t>
      </w:r>
    </w:p>
    <w:p>
      <w:r>
        <w:rPr>
          <w:b/>
        </w:rPr>
        <w:t>E. 8.2</w:t>
      </w:r>
    </w:p>
    <w:p>
      <w:r>
        <w:t>A fronte di quanto esposto, e considerato che l'interessata non ha avuto il comportamento che è giustificato attendersi da ogni straniero che desidera entrare e soggiornare in questo paese, il divieto di entrata pronunciato dall'UFM appare giustificato. Essendo la decisione di divieto d'entrata in Svizzera confermata nel suo principio, resta ora da stabilire se la durata della misura di allontanamento adottata dall'UFM, prevista per un periodo di 3 anni, è adeguata alle circostanze del caso concreto (cfr. art. 49 lett. c PA).</w:t>
      </w:r>
    </w:p>
    <w:p>
      <w:r>
        <w:rPr>
          <w:b/>
        </w:rPr>
        <w:t>E. 9.1</w:t>
      </w:r>
    </w:p>
    <w:p>
      <w:r>
        <w:t>Qualora l'autorità amministrativa pronunci un divieto d'entrata in Svizzera, essa è tenuta a rispettare i principi dell'uguaglianza, della proporzionalità e deve astenersi da qualsiasi arbitrio (a questo proposito ed a titolo di esempio, cfr. Thierry Tanquerel, Manuel de droit admini-stratif, 2011, pagg. 187 e segg., pagg. 199 e segg. e pagg. 204 e segg.; Moor/Flückiger/Martenet, Droit administratif, vol. I, 3a ed. 2012, pagg. 808 e segg., 838 e segg. e pagg. 891 e segg.). Rilevanti sono le particolarità del comportamento illecito, la situazione personale della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136 IV 97 consid. 5.2.2; 135 I 176 consid. 8.1; 133 I 110 consid. 7.1 ed i riferimenti ivi citati).</w:t>
      </w:r>
    </w:p>
    <w:p>
      <w:r>
        <w:rPr>
          <w:b/>
        </w:rPr>
        <w:t>E. 9.2</w:t>
      </w:r>
    </w:p>
    <w:p>
      <w:r>
        <w:t>In proposito va detto che le infrazioni di cui si è resa protagonista la ricorrente rivestono un carattere di gravità certo in quanto sono espressamente sanzionate dalle disposizioni penali di cui agli art. 199 CP e 115 cpv. 1 lett. c LStr. Esercitando in Svizzera un'attività lucrativa dedicandosi alla prostituzione senza le necessarie autorizzazioni, A._______ ha indiscutibilmente violato le normative in materia di diritto degli stranieri, reati per i quali l'art. 80 cpv. 1 lett. a OASA prescrive che vi è la conseguente violazione della sicurezza e dell'ordine pubblici, e per i quali può esserci quale conseguenza l'emissione del divieto d'entrata sul territorio svizzero (cfr. Messaggio precitato FF 2002 pag. 3429). Il Tribunale ha più volte ribadito che in caso di violazioni simili a quelle in esame un divieto d'entrata della durata di tre anni non appare come una misura sproporzionata (cfr. sentenze del TAF C-1429/2013 del 12 agosto 2013 consid. 4 e 5; C-2359/2010 del 3 giugno 2011 consid. 4 e 5; C-5530/2009 dell'11 marzo 2010 consid. 4 e 5).</w:t>
      </w:r>
    </w:p>
    <w:p>
      <w:r>
        <w:rPr>
          <w:b/>
        </w:rPr>
        <w:t>E. 9.3</w:t>
      </w:r>
    </w:p>
    <w:p>
      <w:r>
        <w:t>Quanto ad interessi privati invocati dall'insorgente, in merito a quello di potersi prevalere dei diritti legati alla libera circolazione delle persone in virtù dei legami familiari che la legano a cittadini comunitari, si è già detto al consid. 4. Per quanto invece concerne un'eventuale applicazione dell'art. 8 CEDU, concernente il diritto al rispetto della vita privata e familiare, alla relazione che la ricorrente intrattiene dal maggio 2012 con un cittadino elvetico, è d'uopo rammentare come la citata garanzia convenzionale protegge innanzitutto i rapporti tra coniugi e tra genitori e figli in comunione domestica (cfr. DTF 135 I 143 consid. 1.3.2), al contrario non si applica a rapporti tra semplici concubini, fatta eccezione per il caso di relazioni durevoli, effettivamente vissute e per le quali vi siano indizi di un matrimonio voluto ed imminente (cfr. al proposito la sentenza del TF 2C_792/2012 del 6 giugno 2013 consid. 4 e giurisprudenza ivi citata). Nella fattispecie tali condizioni non sono adempiute, segnatamente facendo difetto una vita in comune e un diritto a risiedere in Svizzera (cfr. sentenze del TAF C-6635/2013 del 19 maggio 2015 consid. 7.5 e C-4750/2014 del 13 maggio 2015 consid. 5.4.2). Ne discende che A._______ non può prevalersi del diritto al rispetto della propria vita privata e familiare al fine di opporsi al divieto d'entrata in Svizzera pronunciato nei suoi confronti dall'allora UFM.</w:t>
      </w:r>
    </w:p>
    <w:p>
      <w:r>
        <w:rPr>
          <w:b/>
        </w:rPr>
        <w:t>E. 9.4</w:t>
      </w:r>
    </w:p>
    <w:p>
      <w:r>
        <w:t>A titolo prettamente abbondanziale il Tribunale osserva inoltre come le ultime informazioni in merito ai rapporti tra la ricorrente ed il compagno risalgano all'ultima presa di posizione del 7 maggio 2013. Non avendo la ricorrente dato seguito all'ordinanza del 13 gennaio 2015, ad oggi è neppure certo che la relazione tra A._______ e E._______ continui a sussistere. Ma a prescindere da ciò, occorre altresì rilevare come il divieto di entrata in esame non impedirebbe alla ricorrente di intrattenere la relazione affettiva con il compagno. Dagli atti emerge infatti come A._______ viva nella fascia di confine tra il Canton Ticino e la Provincia di D._______, mentre il compagno è domiciliato a G._______.</w:t>
      </w:r>
    </w:p>
    <w:p>
      <w:r>
        <w:rPr>
          <w:b/>
        </w:rPr>
        <w:t>E. 10</w:t>
      </w:r>
    </w:p>
    <w:p>
      <w:r>
        <w:t>Ne discende che emanando la decisione di divieto d'entrata del 16 agosto 2012 nei confronti di A._______ l'autorità inferiore non ha violato il diritto federale (art. 49 PA).</w:t>
      </w:r>
    </w:p>
    <w:p>
      <w:r>
        <w:rPr>
          <w:b/>
        </w:rPr>
        <w:t>E. 11</w:t>
      </w:r>
    </w:p>
    <w:p>
      <w:r>
        <w:t>Visto l'esito della procedura, le spese processuali vengono poste a carico della ricorrente (art. 63 cpv. 1 PA in relazione con gli art. 1 a 3 del regolamento del 21 febbraio 2008 sulle tasse e sulle spese ripetibili nelle cause dinanzi al Tribunale amministrativo federale [TS-TAF, RS 173.320.2]). Le stesse sono prelevate sull'anticipo spese versato in data 13 maggio 2013.</w:t>
      </w:r>
    </w:p>
    <w:p>
      <w:r>
        <w:rPr>
          <w:b/>
        </w:rPr>
        <w:t>E. 12</w:t>
      </w:r>
    </w:p>
    <w:p>
      <w:r>
        <w:t>Visto l'esito della procedura, non sono assegnate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