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C-3917/2012 vom 6. Februar 2013</w:t>
      </w:r>
    </w:p>
    <w:p>
      <w:r>
        <w:t>Bundesverwaltungsgericht, 2013-02-06, IT</w:t>
      </w:r>
    </w:p>
    <w:p>
      <w:r>
        <w:rPr>
          <w:b/>
        </w:rPr>
        <w:t xml:space="preserve">Quelle: </w:t>
      </w:r>
      <w:r>
        <w:t>https://mcp.opencaselaw.ch/entscheid/bvger_C-3917_2012</w:t>
      </w:r>
    </w:p>
    <w:p>
      <w:r>
        <w:t>FR: TAF C-3917/2012 du 6 février 2013</w:t>
      </w:r>
    </w:p>
    <w:p>
      <w:r>
        <w:t>IT: TAF C-3917/2012 del 6 febbraio 2013</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 A._______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consid. 1.2. della sentenza 2A.451/2002 del 28 marzo 2003 pubblicata parzialmente in: DTF 129 II 215; cfr. DTAF 2011/1 consid. 2 e giurisprudenza ivi citata).</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 e DTAF 2009/27 consid. 3 e giurisprudenza citata).</w:t>
      </w:r>
    </w:p>
    <w:p>
      <w:r>
        <w:rPr>
          <w:b/>
        </w:rPr>
        <w:t>E. 4</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cpv. 1 del codice frontiere Schengen, modificato dal regolamento (UE) n. 265/2010 del Parlamento europeo e del Consiglio del 25 marzo 2010, definisce le condizioni d'ingresso per i cittadini di paesi terzi. Questi devono essere in possesso di uno o più documenti di viaggio validi che consentano di attraversare la frontiera e se richiesto di un visto valido, salvo che siano in possesso di un permesso di soggiorno o di un visto per soggiorni di lunga durata in corso di validità (lett. a e b), nonché giustificare lo scopo e le condizioni di soggiorno e disporre di mezzi finanziari sufficienti (lett. c e art. 14 cpv. 1 lett. a-c del regolamento [CE] n. 810/2009 del Parlamento europeo e del Consiglio del 13 luglio 2009, che istituisce un codice comunitario dei visti [Codice dei visti, GU L 243/1 del 15 settembre 2009, pag. 1-58]). Infine non devono essere segnalati nel Sistema d'informazione Schengen (SIS) ai fini della non ammissione e non essere considerati una minaccia per l'ordine pubblico, la sicurezza interna, la salute pubblica o le relazioni internazionali di uno degli Stati membri (lett. d ed e). Ciò posto le condizioni d'entrata previste dal codice frontiere Schengen corrispondono essenzialmente a quelle di cui all'art. 5 cpv. 1 della legge federale del 16 dicembre 2005 sugli stranieri (LStr, RS 142.20). 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5</w:t>
      </w:r>
    </w:p>
    <w:p>
      <w:r>
        <w:t>L'art. 5 cpv. 2 LStr esige inoltre dallo straniero che prevede un soggiorno temporaneo in Svizzera una garanzia di partenza al termine del suo soggiorno. Questa condizione di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6</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del visto all'atto di attraversamento delle frontiere esterne degli Stati Schengen. In proposito, essendo la Repubblica di Santo Domingo, contemplata nel sopracitato allegato I, l'invitata, quale cittadina dominicana, soggiace all'obbligo del visto.</w:t>
      </w:r>
    </w:p>
    <w:p>
      <w:r>
        <w:rPr>
          <w:b/>
        </w:rPr>
        <w:t>E. 7.1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della richiedente.</w:t>
      </w:r>
    </w:p>
    <w:p>
      <w:r>
        <w:rPr>
          <w:b/>
        </w:rPr>
        <w:t>E. 7.2</w:t>
      </w:r>
    </w:p>
    <w:p>
      <w:r>
        <w:t>L'economia della Repubblica dominicana si è rapidamente ripresa a partire dall'agosto 2004, nonostante la difficile crisi causata dal tracollo finanziario delle tre più grandi banche d'affari avvenuto nel 2003. Infatti negli ultimi anni si è assistito ad una crescita media annuale del 7% e, sebbene essa sia tendenzialmente diminuita a causa dell'indebolimento generale dell'economia mondiale, nel 2011 è comunque stata pari al 4% (cfr. fonti: sito internet dell'Ufficio degli affari esteri tedesco, &lt;http://www.auswaertiges-amt.de , Länder, Reisen und Sicherheit alle Länder A - Z Dominikanische Republik Wirtschaft, ultimo aggiornamento: ottobre 2012, visitato il 2 gennaio 2013). È stato inoltre constatato un aumento del tasso di criminalità, in particolare la commissione di reati perlopiù contro il patrimonio che degradano talvolta in atti di violenza (cfr. http://www.eda.admin.ch/eda/it/home.html &gt; Consigli di viaggio &gt; Destinazioni di viaggio &gt; Consigli di viaggio per: Repubblica dominicana, ultimo aggiornamento: il 29 agosto 2011, visitato il 2 gennaio 2013).</w:t>
      </w:r>
    </w:p>
    <w:p>
      <w:r>
        <w:rPr>
          <w:b/>
        </w:rPr>
        <w:t>E. 7.3</w:t>
      </w:r>
    </w:p>
    <w:p>
      <w:r>
        <w:t>Tenuto conto delle considerazioni relative alla situazione socioeconomica nella Repubblica dominicana nonché delle differenze tra questo Paese e la Svizzera, la valutazione dell'UFM secondo cui il rischio di un'uscita non conforme ai termini prestabiliti appaia relativamente elevato, non può essere contestata. Effettivamente, a prescindere dal fatto che la predisposizione a lasciare il proprio Paese d'origine è agevolata allor-quando parenti o conoscenti si trovano all'estero, va ricordato che la pressione migratoria, come lo dimostra l'esperienza, risulta essere più elevata in presenza di persone giovani che non hanno particolari legami famigliari o professionali al loro Paese d'origine. Ciononostante trarre delle conclusioni basandosi unicamente sulla situazione generale del paese d'origine, porterebbe ad una valutazione dei fatti eccessivamente genera-lizzata. Occorre pertanto esaminare l'insieme delle circostanze del caso concreto; in particolare gli obblighi familiari, sociali o professionali possono costituire una prognosi favorevole in vista di una partenza regolare dalla Svizzera.</w:t>
      </w:r>
    </w:p>
    <w:p>
      <w:r>
        <w:rPr>
          <w:b/>
        </w:rPr>
        <w:t>E. 8</w:t>
      </w:r>
    </w:p>
    <w:p>
      <w:r>
        <w:t>Per quanto riguarda i legami esistenti nel Paese d'origine, dagli atti di causa risulta che la richiedente - ventunenne e celibe - è madre di una figlia in tenere età che verrebbe accudita dai propri genitori durante il postulato soggiorno in Svizzera (cfr. ricorso del 23 luglio 2012, pag. 1). Inoltre non emerge che l'invitata abbia un'attività lavorativa in Patria, sia essa duratura o saltuaria. Infine non emerge nemmeno che la stessa stia seguendo un percorso formativo che richieda una presenza regolare nel proprio Paese. Ciò posto il presente Tribunale considera che non esistono legami professionali o formativi imprescindibili tra l'invitata e il proprio paese. Quanto alla propria situazione famigliare l'esistenza di una figlia che, come dichiarato, sarebbe accudita dai propri genitori, non esclude la possibilità di protrarre il proprio soggiorno in Svizzera rispettivamente nello spazio Schengen per trovare delle migliori condizioni di vita dapprima per sé stessa ed in seguito per la figlia.</w:t>
      </w:r>
    </w:p>
    <w:p>
      <w:r>
        <w:rPr>
          <w:b/>
        </w:rPr>
        <w:t>E. 9.1</w:t>
      </w:r>
    </w:p>
    <w:p>
      <w:r>
        <w:t>Da quanto precede il Tribunale costata che si è in presenza di un rischio migratorio elevato e che pertanto il rilascio del visto a favore della richiedente non può essere concesso.</w:t>
      </w:r>
    </w:p>
    <w:p>
      <w:r>
        <w:rPr>
          <w:b/>
        </w:rPr>
        <w:t>E. 9.2</w:t>
      </w:r>
    </w:p>
    <w:p>
      <w:r>
        <w:t>Ne discende che l'autorità di prime cure ha rilevato a giusto titolo sulla base della situazione agli atti, che l'uscita dalla spazio Schengen entro i termini stabiliti dopo un soggiorno per visita non è sufficientemente garantita. La correttezza di tale valutazione non può essere pregiudicata neanche dalle ripetute dichiarazioni di garanzia formulata da A._______. A questo titolo giova sottolineare che la buona fede e l'onestà dell'invitante, qui ricorrente, non è messa in discussione.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dall'invitante con la quale egli si porta garante per tutte le spese di soggiorno, non sono tali da impedire alla richiedente di intraprendere i passi necessari per stabilirvisi durevolmente (cfr. DTAF 2009/27 consid. 9).</w:t>
      </w:r>
    </w:p>
    <w:p>
      <w:r>
        <w:rPr>
          <w:b/>
        </w:rPr>
        <w:t>E. 10</w:t>
      </w:r>
    </w:p>
    <w:p>
      <w:r>
        <w:t>Ne discende che l'UFM con decisione del 17 luglio 2012 non ha violato il diritto federale né abusato del suo potere di apprezzamento; l'autorità di prime cure non ha accertato in modo inesatto o incompleto i fatti giuridicamente rilevanti ed inoltre la decisione non é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