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C-3909/2009 vom 29. Januar 2011</w:t>
      </w:r>
    </w:p>
    <w:p>
      <w:r>
        <w:t>Bundesverwaltungsgericht, 2011-01-29, FR</w:t>
      </w:r>
    </w:p>
    <w:p>
      <w:r>
        <w:rPr>
          <w:b/>
        </w:rPr>
        <w:t xml:space="preserve">Quelle: </w:t>
      </w:r>
      <w:r>
        <w:t>https://mcp.opencaselaw.ch/entscheid/bvger_C-3909_2009</w:t>
      </w:r>
    </w:p>
    <w:p>
      <w:r>
        <w:t>FR: TAF C-3909/2009 du 29 janvier 2011</w:t>
      </w:r>
    </w:p>
    <w:p>
      <w:r>
        <w:t>IT: TAF C-3909/2009 del 29 gennaio 2011</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w:t>
      </w:r>
    </w:p>
    <w:p>
      <w:r>
        <w:rPr>
          <w:b/>
        </w:rPr>
        <w:t>E. 4</w:t>
      </w:r>
    </w:p>
    <w:p>
      <w:r>
        <w:t>Le recourant conteste la validité matérielle de la décision de l'OAIE du 8 mai 2009, dans la mesure où il prétend avoir droit à une rente d'invalidité.</w:t>
      </w:r>
    </w:p>
    <w:p>
      <w:r>
        <w:rPr>
          <w:b/>
        </w:rPr>
        <w:t>E. 5</w:t>
      </w:r>
    </w:p>
    <w:p>
      <w:r>
        <w:t>Tout requérant doit remplir cumulativement les conditions suivantes pour avoir droit à une rente de l'assurance-invalidité suisse: - être invalide au sens de la LPGA/LAI et - avoir compté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l'AI pendant plus de trois années au total (pce 5) et remplit, partant, la condition de la durée minimale de cotisations. Il reste dès lors à examiner si il est invalide au sens de la LAI.</w:t>
      </w:r>
    </w:p>
    <w:p>
      <w:r>
        <w:rPr>
          <w:b/>
        </w:rPr>
        <w:t>E. 6.1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à trois-quarts de rente s'il est invalide à 60% et à une rente entière s'il est invalide à 70% au moins (art. 28 al. 2 LAI ).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Une incapacité de travail de 20% doit être prise en compte pour le calcul de l'incapacité de travail moyenne selon la let. b de l'art. 29 al. 1 LAI (VSI 1998 p. 126 consid. 3c).</w:t>
      </w:r>
    </w:p>
    <w:p>
      <w:r>
        <w:rPr>
          <w:b/>
        </w:rPr>
        <w:t>E. 6.4</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recourant a exercé en dernier lieu, jusqu'au 26 juillet 2005, l'activité de maçon/poseur de marbre et a arrêté cette activité de son plein gré selon l'employeur et n'a plus travaillé depuis.</w:t>
      </w:r>
    </w:p>
    <w:p>
      <w:r>
        <w:rPr>
          <w:b/>
        </w:rPr>
        <w:t>E. 7.2</w:t>
      </w:r>
    </w:p>
    <w:p>
      <w:r>
        <w:t>En l'absence de données économiques, il faut donc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9.1</w:t>
      </w:r>
    </w:p>
    <w:p>
      <w:r>
        <w:t>Il ressort des pièces médicales au dossier, en particulier du rapport E 213 du 23 octobre 2008 et de la prise de position du 11 mars 2009 du médecin de l'OAIE, que le recourant souffrait d'une insuffisance respiratoire avec BPCO, d'un emphysème pulmonaire et des suites d'un abus de nicotine et d'alcool. Dans le cadre de la procédure de recours, de nouveaux documents médicaux ont été produits attestant clairement la présence de nodules pulmonaires compatibles avec un adénocarcinome (cf. rapport radiologique du 9 février 2009, rapport d'anatomopathologie du service de médecine nucléaire du 10 juin 2009).</w:t>
      </w:r>
    </w:p>
    <w:p>
      <w:r>
        <w:rPr>
          <w:b/>
        </w:rPr>
        <w:t>E. 9.2</w:t>
      </w:r>
    </w:p>
    <w:p>
      <w:r>
        <w:t>En ce qui concerne les conséquences des affections diagnostiquées sur la capacité de travail, le médecin de l'INSS relevait déjà, dans le rapport E 213 du 23 octobre 2008, avant que le diagnostic de tumeur maligne ne soit posé, une invalidité permanente et absolue depuis le 2 octobre 2008: la BPCO sévère et l'emphysème pulmonaire avec une dyspnée de classe fonctionnelle II engendraient des limitations pulmonaires chroniques ventilatoires de grade quasi sévère qui permettraient au recourant de travailler au plus deux heures par jour dans des conditions optimales. Le médecin de l'OAIE considérait en revanche que le recourant devait être considéré inapte pour son ancienne activité dans la mesure de 70% dès le 1er mai 2009, mais qu'il présentait une capacité de travail totale dans des activités de substitution. C'est uniquement après avoir eu connaissance de la nouvelle documentation médicale, que le médecin de l'OAIE a retenu une incapacité de travail de 90% pour toute activité mais seulement depuis le 3 juin 2009.</w:t>
      </w:r>
    </w:p>
    <w:p>
      <w:r>
        <w:rPr>
          <w:b/>
        </w:rPr>
        <w:t>E. 9.3</w:t>
      </w:r>
    </w:p>
    <w:p>
      <w:r>
        <w:t>Le Tribunal, au vu des affections dont le recourant est atteint, en particulier au niveau pulmonaire, de leur évolution vers une pathologie maligne dont la découverte remonte en février 2009 (rapport radiologique du thorax) ne peut se rallier sans autre à l'avis du service médical de l'OAIE et retenir que le recourant aurait été apte à exercer un activité de substitution à 100% jusqu'au 3 juin 2009. En effet, les limitations évoquées déjà en 2008 par le médecin de l'INSS et corroborées par la documentation médicale objective au dossier ne permettent pas d'exclure que déjà avant l'apparition des nodules la capacité de travail du recourant était limitée même dans les activités de substitution mentionnées par le médecin de l'OAIE.</w:t>
      </w:r>
    </w:p>
    <w:p>
      <w:r>
        <w:rPr>
          <w:b/>
        </w:rPr>
        <w:t>E. 9.4</w:t>
      </w:r>
    </w:p>
    <w:p>
      <w:r>
        <w:t>Au vu de ce qui précède, le Tribunal administratif fédéral, en application de l'art. 61 PA, doit admettre partiellement le recours, annuler la décision entreprise et renvoyer le dossier à l'OAIE afin qu'il établisse par tous les moyens utiles, notamment une expertise pneumologique, les informations nécessaires à une évaluation de la capacité de travail de l'intéressé dans des activités raisonnablement exigibles, fixe le taux d'invalidité sur la base d'une comparaison de revenu et rende, après avoir accordé au recourant le droit d'être entendu, une nouvelle décision.</w:t>
      </w:r>
    </w:p>
    <w:p>
      <w:r>
        <w:rPr>
          <w:b/>
        </w:rPr>
        <w:t>E. 10.1</w:t>
      </w:r>
    </w:p>
    <w:p>
      <w:r>
        <w:t>Vu l'issue de la cause, il n'est pas perçu de frais de procédure (art. 63 al. 1 et 2 PA; art. 6 let b du règlement du 21 février 2008 concernant les frais, dépens et indemnités fixés par le Tribunal administratif fédéral [FITAF, RS 173.320.2]). L'avance de frais de Fr. 300.-versée par le recourant lui sera remboursée.</w:t>
      </w:r>
    </w:p>
    <w:p>
      <w:r>
        <w:rPr>
          <w:b/>
        </w:rPr>
        <w:t>E. 10.2</w:t>
      </w:r>
    </w:p>
    <w:p>
      <w:r>
        <w:t>Bien que le recourant ait obtenu gain de cause, il n'a ni eu recours à un mandataire professionnel ni encouru de frais particulièrement élevés et nécessaires à la cause, de sorte qu'il ne lui est alloué aucune indemnité à titre de dépens (art. 64 al. 1 PA; art. 7 et art. 14 FITAF). (dispositif à la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