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C-389/2026 vom 11. Februar 2026</w:t>
      </w:r>
    </w:p>
    <w:p>
      <w:r>
        <w:t>Bundesverwaltungsgericht, 2026-02-11, DE</w:t>
      </w:r>
    </w:p>
    <w:p>
      <w:r>
        <w:rPr>
          <w:b/>
        </w:rPr>
        <w:t xml:space="preserve">Quelle: </w:t>
      </w:r>
      <w:r>
        <w:t>https://mcp.opencaselaw.ch/entscheid/bvger_C-389_2026</w:t>
      </w:r>
    </w:p>
    <w:p>
      <w:r>
        <w:t>FR: TAF C-389/2026 du 11 février 2026</w:t>
      </w:r>
    </w:p>
    <w:p>
      <w:r>
        <w:t>IT: TAF C-389/2026 del 11 febbraio 2026</w:t>
      </w:r>
    </w:p>
    <w:p>
      <w:pPr>
        <w:pStyle w:val="Heading2"/>
      </w:pPr>
      <w:r>
        <w:t>Regeste</w:t>
      </w:r>
    </w:p>
    <w:p>
      <w:r>
        <w:t>Rentenrevision</w:t>
      </w:r>
    </w:p>
    <w:p>
      <w:pPr>
        <w:pStyle w:val="Heading2"/>
      </w:pPr>
      <w:r>
        <w:t>Erwägungen</w:t>
      </w:r>
    </w:p>
    <w:p>
      <w:r>
        <w:rPr>
          <w:b/>
        </w:rPr>
        <w:t>E. 1</w:t>
      </w:r>
    </w:p>
    <w:p>
      <w:r>
        <w:t>Die Rechtsverzögerungsbeschwerde wird, soweit darauf einzutreten ist, infolge Gegenstandslosigkeit abgeschrieben.</w:t>
      </w:r>
    </w:p>
    <w:p>
      <w:r>
        <w:rPr>
          <w:b/>
        </w:rPr>
        <w:t>E. 2</w:t>
      </w:r>
    </w:p>
    <w:p>
      <w:r>
        <w:t>Es werden keine Verfahrenskosten erhoben und es wird keine Parteientschädigung zugesprochen.</w:t>
      </w:r>
    </w:p>
    <w:p>
      <w:r>
        <w:rPr>
          <w:b/>
        </w:rPr>
        <w:t>E. 3</w:t>
      </w:r>
    </w:p>
    <w:p>
      <w:r>
        <w:t>Dieses Urteil geht an die Beschwerdeführerin, die Vorinstanz und das Bundesamt für Sozialversicherungen.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