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C-389/2006 vom 4. Juni 2007</w:t>
      </w:r>
    </w:p>
    <w:p>
      <w:r>
        <w:t>Bundesverwaltungsgericht, 2007-06-04, DE</w:t>
      </w:r>
    </w:p>
    <w:p>
      <w:r>
        <w:rPr>
          <w:b/>
        </w:rPr>
        <w:t xml:space="preserve">Quelle: </w:t>
      </w:r>
      <w:r>
        <w:t>https://mcp.opencaselaw.ch/entscheid/bvger_C-389_2006</w:t>
      </w:r>
    </w:p>
    <w:p>
      <w:r>
        <w:t>FR: TAF C-389/2006 du 4 juin 2007</w:t>
      </w:r>
    </w:p>
    <w:p>
      <w:r>
        <w:t>IT: TAF C-389/2006 del 4 giugno 2007</w:t>
      </w:r>
    </w:p>
    <w:p>
      <w:pPr>
        <w:pStyle w:val="Heading2"/>
      </w:pPr>
      <w:r>
        <w:t>Regeste</w:t>
      </w:r>
    </w:p>
    <w:p>
      <w:r>
        <w:t>Ausländerrecht (Übriges)</w:t>
      </w:r>
    </w:p>
    <w:p>
      <w:pPr>
        <w:pStyle w:val="Heading2"/>
      </w:pPr>
      <w:r>
        <w:t>Erwägungen</w:t>
      </w:r>
    </w:p>
    <w:p>
      <w:r>
        <w:rPr>
          <w:b/>
        </w:rPr>
        <w:t>E. 1.1</w:t>
      </w:r>
    </w:p>
    <w:p>
      <w:r>
        <w:t>Verfügungen des Bundesamtes für Migration (BFM; früher Bundesamtes für Zuwanderung, Integration und Auswanderung [IMES]) betreffend Entlassung aus der eidgenössischen Kontrolle unterliegen der Beschwerde an das Bundesverwaltungsgericht (Art. 20 Abs. 1 des Bundesgesetzes vom 26. März 1931 über Aufenthalt und Niederlassung der Ausländer [ANAG, SR 142.20] sowie Art. 31 ff. des Verwaltungsgerichtsgesetzes vom 17. Juni 2005 [VGG, SR 173.32]). Dessen Urteil ist endgültig, soweit nicht die Verwaltungsgerichtsbeschwerde an das Bundesgericht zulässig ist (Art. 1 Abs. 2 VGG i.V.m. Art. 83 Bst. c Ziff. 2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sofern das Verwaltungsgerichtsgesetz nichts anderes bestimmt (vgl. Art. 37 VGG).</w:t>
      </w:r>
    </w:p>
    <w:p>
      <w:r>
        <w:rPr>
          <w:b/>
        </w:rPr>
        <w:t>E. 1.3</w:t>
      </w:r>
    </w:p>
    <w:p>
      <w:r>
        <w:t>Die Rekurrentin ist als Adressatin der angefochtenen Verfügung zur Beschwerde legitimiert (Art. 48 VwVG); auf die form- und fristgerechte Rechtsmitteleingabe ist daher einzutreten (Art. 49 - 52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Die Erteilung einer Niederlassungsbewilligung steht in der Kompetenz der Kantone (vgl. Art. 15 Abs. 1 i.V.m. Art. 18 Abs. 1 ANAG). Die kantonale Bewilligung darf indessen erst ausgestellt werden, wenn die Zustimmung des BFM vorliegt, ansonsten ist die Bewilligung ungültig (vgl. Art. 19 Abs. 5 der Vollziehungsverordnung vom 1. März 1949 zum Bundesgesetz über Aufenthalt und Niederlassung der Ausländer [ANAV, SR 142.201]). Ist das BFM mit dem dauernden Verbleib einverstanden, so setzt es in seiner Zustimmungsverfügung den Tag fest, von dem an die Ausländerin bzw. der Ausländer aus der eidgenössischen Kontrolle entlassen wird. Damit bestimmt das BFM den Zeitpunkt, von wann an die Niederlassung erteilt werden kann, ohne dass eine nochmalige Einholung der Zustimmung erforderlich wäre (vgl. Art. 17 Abs. 1 ANAG und Art. 19 Abs. 3 ANAV). Obschon die Entlassung aus der eidgenössischen Kontrolle in der Regel eine notwendige Voraussetzung ist (Art. 11 Abs. 2 und Art. 19 Abs. 3 ANAV), räumt sie keinen Rechtsanspruch auf Erteilung einer Niederlassungsbewilligung ein (vgl. BGE 125 II 633 E. 2b S. 637).</w:t>
      </w:r>
    </w:p>
    <w:p>
      <w:r>
        <w:rPr>
          <w:b/>
        </w:rPr>
        <w:t>E. 4</w:t>
      </w:r>
    </w:p>
    <w:p>
      <w:r>
        <w:t>Soweit die gesetzlichen Vorschriften und die Verträge mit dem Ausland der Ausländerin bzw. dem Ausländer keinen Anspruch auf Erteilung einer Niederlassungsbewilligung vermitteln, entscheidet die Behörde nach pflichtgemässen Ermessen (vgl. Art. 4 ANAG).</w:t>
      </w:r>
    </w:p>
    <w:p>
      <w:r>
        <w:rPr>
          <w:b/>
        </w:rPr>
        <w:t>E. 4.1</w:t>
      </w:r>
    </w:p>
    <w:p>
      <w:r>
        <w:t>Die Beschwerdeführerin kann sich als türkische Staatsangehörige auf keine staatsvertragliche Ausnahmeregelung berufen, die ihr einen Anspruch auf Niederlassung verleihen würde. Der ausländischen Ehegattin eines Schweizers ist jedoch nach einem ordnungsgemässen und ununterbrochenen Aufenthalt von fünf Jahren eine Niederlassungsbewilligung zu erteilen (vgl. Art. 7 Abs. 1 ANAG). Für die Berechnung dieser Fünfjahresfrist ist einzig die Dauer massgebend, während der sich die Ausländerin als Ehegattin eines Schweizer Bürgers in der Schweiz aufhält. Der anrechbare Aufenthalt beginnt deshalb mit dem Datum der Heirat bzw. mit dem Datum der Einreise in die Schweiz, sofern die Ehe im Ausland geschlossen wurde oder mit der Einbürgerung des Ehegatten (vgl. BGE 130 II 49 E. 3.2.3 S. 54). Ein allfälliger Aufenthalt in der Schweiz vor der Eheschliessung bleibt dagegen im Rahmen von Art. 7 Abs. 1 Satz 2 ANAG zur Berechnung der Fünfjahresfrist unbeachtlich (BGE 122 II 145 E. 3b S. 147 mit weiteren Hinweisen). Dementsprechend legte die Vorinstanz fest, die Beschwerdeführerin werde fünf Jahre nach ihrer Heirat aus der eidgenössischen Kontrolle entlassen und könne somit frühestens am 4. Juli 2008 eine Niederlassungsbewilligung erhalten.</w:t>
      </w:r>
    </w:p>
    <w:p>
      <w:r>
        <w:rPr>
          <w:b/>
        </w:rPr>
        <w:t>E. 4.2</w:t>
      </w:r>
    </w:p>
    <w:p>
      <w:r>
        <w:t>Anzufügen ist, dass sich die Rekurrentin inzwischen scheiden liess und am 30. Juni 2005 zum zweiten Mal einen Schweizer Staatsbürger heiratete. Die Beschwerdeführerin erhält zwar dadurch erneut gestützt auf Art. 7 Abs. 1 Satz 2 ANAG einen Anspruch auf Erteilung einer Niederlassungsbewilligung. Vorausgesetzt bleibt jedoch der ordnungsgemässe und ununterbrochene fünfjährige Aufenthalt. Weil sich diese Fünfjahresfrist aber auf diejenige Ehe bezieht, aus welcher der Niederlassungsanspruch abgeleitet wird (dazu Verwaltungspraxis der Bundesbehörden [VPB] 59.27 Ziff. 8.1), hätte die Beschwerdeführerin demzufolge erst fünf Jahre nach ihrer zweiten Eheschliessung gestützt auf Art. 7 Abs. 1 Satz 2 ANAG ein Recht auf Entlassung aus der eidgenössischen Kontrolle.</w:t>
      </w:r>
    </w:p>
    <w:p>
      <w:r>
        <w:rPr>
          <w:b/>
        </w:rPr>
        <w:t>E. 4.3</w:t>
      </w:r>
    </w:p>
    <w:p>
      <w:r>
        <w:t>Ein Anspruch auf eine Niederlassungsbewilligung und damit auf Entlassung aus der eidgenössischen Kontrolle besteht somit zum heutigen Zeitpunkt nicht.</w:t>
      </w:r>
    </w:p>
    <w:p>
      <w:r>
        <w:rPr>
          <w:b/>
        </w:rPr>
        <w:t>E. 5</w:t>
      </w:r>
    </w:p>
    <w:p>
      <w:r>
        <w:t>Unbeachtlich der Frage des Anspruches bleibt zu prüfen, ob die Niederlassungsbewilligung allenfalls im Rahmen des behördlichen Ermessens erteilt werden kann (vgl. Art. 4 ANAG).</w:t>
      </w:r>
    </w:p>
    <w:p>
      <w:r>
        <w:rPr>
          <w:b/>
        </w:rPr>
        <w:t>E. 5.1</w:t>
      </w:r>
    </w:p>
    <w:p>
      <w:r>
        <w:t>Gemäss Art. 17 Abs. 1 ANAG i.V.m. Art. 10 Abs. 1 ANAV ist Ausländer/innen, selbst wenn sie voraussichtlich dauerhaft in der Schweiz bleiben, zunächst nur eine Aufenthaltsbewilligung zu erteilen. Ihr Verhalten ist vor der Erteilung der Niederlassungsbewilligung nochmals eingehend zu prüfen (Art. 11 Abs. 1 ANAV). Damit wird zum Ausdruck gebracht, dass die Niederlassungsbewilligung - als diejenige Bewilligungsart, die der Ausländerin bzw. dem Ausländer die weitestgehende Rechtstellung vermittelt - eine schrittweise Verbesserung des Anwesenheitsrechts abschliessen soll. Zudem soll der Aufenthalt vor Erteilung einer Niederlassungsbewilligung Gewähr bieten, dass die Ausländerin/der Ausländer mit den hiesigen Verhältnissen vertraut und im Hinblick auf die weitreichenden Folgen eines unbefristeten Anwesenheitsrechts auch genügend integriert ist (dazu auch BGE 125 II 633 E. 2c S. 638).</w:t>
      </w:r>
    </w:p>
    <w:p>
      <w:r>
        <w:rPr>
          <w:b/>
        </w:rPr>
        <w:t>E. 5.2</w:t>
      </w:r>
    </w:p>
    <w:p>
      <w:r>
        <w:t>Praxisgemäss wird die Niederlassung in der Regel nach einem ordnungsgemässen und ununterbrochenen Aufenthalt von zehn Jahren erteilt (vgl. Peter Kottusch, Die Niederlassungsbewilligung gemäss Art. 6 ANAG, Zentralblatt für Staats- und Verwaltungsrecht [ZBL], 1986, S. 519 f.). Vorbehalten bleiben, wie unter Ziff. 4 ausgeführt, abweichende staatsvertragliche Regelungen sowie kürzere Fristen aufgrund eines Anspruches auf Niederlassung.</w:t>
      </w:r>
    </w:p>
    <w:p>
      <w:r>
        <w:rPr>
          <w:b/>
        </w:rPr>
        <w:t>E. 5.3</w:t>
      </w:r>
    </w:p>
    <w:p>
      <w:r>
        <w:t>Eine Möglichkeit zur vorzeitigen Entlassung aus der eidgenössischen Kontrolle sieht Art. 3b Abs. 2 der Verordnung über die Integration von Ausländerinnen und Ausländer (VIntA, SR 142.205) vor. Die Bestimmung ist zwar erst nach Erlass der hier angefochtenen Verfügung am 1. Februar 2006 in Kraft getreten. Weil für das Bundesverwaltungsgericht die Rechtslage zum Zeitpunkt des Entscheides massgebend ist (vgl. Ziff. 2), ist sie dennoch im vorliegenden Verfahren zur Beurteilung heranzuziehen. Nach Art. 3b Abs. 2 VIntA kann die Kontrollentlassung erteilt werden, wenn eine erfolgreiche Integration im Sinne der VIntA vorliegt und die Ausländerin oder der Ausländer seit fünf Jahren ununterbrochen eine Aufenthaltsbewilligung besitzt. Gemäss Rundschreiben der Vorinstanz sollen bei der Berechnung der Fünfjahresfrist frühere Aufenthalte in der Schweiz nicht berücksichtigt werden (Rundschreiben des BFM vom 1. Februar 2006 zur Teilrevision der Verordnung vom 13. September 2000 über die Integration von Ausländerinnen und Ausländer [VInta], Ziff. 4.1 Bst. c). Die Beschwerdeführerin könnte somit nach dieser behördlichen Praxis gestützt auf Art. 3b Abs. 2 VIntA nicht in den Genuss einer vorzeitigen Entlassung aus der eidgenössischen Kontrolle kommen, besitzt sie schliesslich ihre Aufenthaltsbewilligung zum jetzigen Zeitpunkt noch keine fünf Jahre. Ob jedoch, wie im Rundschreiben des BFM angeführt, die VIntA die Anrechnung früherer Aufenthalte ausschliesst, kann angesichts der nachfolgenden Erwägungen indessen offen bleiben.</w:t>
      </w:r>
    </w:p>
    <w:p>
      <w:r>
        <w:rPr>
          <w:b/>
        </w:rPr>
        <w:t>E. 6</w:t>
      </w:r>
    </w:p>
    <w:p>
      <w:r>
        <w:t>Trotz der Regelung der vorzeitigen Entlassung im Rahmen der VIntA steht es den Behörden offen, die Niederlassungsbewilligung auch sofort und ohne vorgängigen Aufenthalt zu erteilen. Denn Art. 17 Abs. 1 ANAG (vgl. auch Art. 10 Abs. 1 ANAV) setzt den vorgängigen Aufenthalt nur "in der Regel" voraus. Die gesetzliche Bestimmung räumt den Behörden demnach ein über die VIntA hinausgehendes Ermessen ein, indem gänzlich auf die vorangehende Aufenthaltsdauer verzichtet und unmittelbar die Niederlassung bewilligt werden kann. Die Beschwerdeführerin verweist denn auch auf die Gesetzesbestimmung und die damit verbundene Möglichkeit der Ausnahmeregelung. In den Ausführungsbestimmungen ist diesbezüglich vorgesehen, dass ohne vorherige Aufenthaltsbewilligung insbesondere jenen Ausländer/innen die Niederlassung bewilligt werden kann, welche die Niederlassung früher schon während Jahren besessen haben und trotz ihrer Abwesenheit mit der Schweiz eng verbunden geblieben sind (vgl. Art. 10 Abs. 1 Satz 2 ANAV). Gemäss den Weisungen der Vorinstanz sind für die Anrechnung des früheren Aufenthalts dessen Dauer, die Dauer der Auslandabwesenheit sowie der Umstand massgebend, ob die Ausländerin oder der Ausländer vor der Ausreise bereits eine Niederlassungsbewilligung besessen hat (Weisungen und Erläuterungen des BFM über Einreise, Aufenthalt und Arbeitsmarkt, 3. Aufl., Bern 2006, Ziff. 343.41).</w:t>
      </w:r>
    </w:p>
    <w:p>
      <w:r>
        <w:rPr>
          <w:b/>
        </w:rPr>
        <w:t>E. 6.1</w:t>
      </w:r>
    </w:p>
    <w:p>
      <w:r>
        <w:t>Soweit der frühere langjährige Besitz der Niederlassungsbewilligung vorausgesetzt wird, war die Beschwerdeführerin als Tochter von in der Schweiz niedergelassen Eltern seit ihrer Kindheit bis zum 19. Lebensjahr im Besitze einer Niederlassungsbewilligung und erfüllt folglich das Erfordernis der langjährigen früheren Niederlassung. Die Vorinstanz verneint jedoch den engen Bezug zur Schweiz, weil sich die Beschwerdeführerin während sieben Jahren in der Türkei aufgehalten habe. Die Rekurrentin bringt dagegen vor, sie habe bereits im Jahr 2001 wieder um Aufenthalt in die Schweiz ersucht. Ihre Bemühungen und die Besuchsaufenthalte seien als Rückkehrversuch mit zu berücksichtigen. Insofern die Beschwerdeführerin damit die siebenjährige Abwesenheit in Frage stellt, kann ihr nicht gefolgt werden. Trotz dem Bestreben während ihren Besuchen eine Aufenthaltsbewilligung zu erhalten, hielt sie sich mit dem Besuchervisum nur vorübergehend in der Schweiz auf. Solche Kurzaufenthalte vermögen jedoch die Dauer des Auslandsaufenthaltes nicht zu verkürzen, wäre es sonst möglich, mit regelmässigen Besuchsaufenthalten in der Schweiz, sich auch nach Jahren der Landesabwesenheit auf Art. 10 Abs. 1 ANAV berufen zu können. Somit bleibt einzig zu prüfen, ob angesichts des siebenjährigen Aufenthalts in der Türkei keine enge Verbundenheit mit der Schweiz mehr besteht.</w:t>
      </w:r>
    </w:p>
    <w:p>
      <w:r>
        <w:rPr>
          <w:b/>
        </w:rPr>
        <w:t>E. 6.2</w:t>
      </w:r>
    </w:p>
    <w:p>
      <w:r>
        <w:t>Die Vorinstanz schliesst in allgemeiner Weise aufgrund der Dauer der Abwesenheit auf den Verlust des Bezuges zur Schweiz. In der Gesamtwürdigung kann die Abwesenheitsdauer zwar als Indiz auf die fehlende Verbundenheit hinweisen, in diesem Sinne wird auch in der Literatur ein nicht zu weit zurückliegender Aufenthalt verlangt (vgl. Peter Uebersax, Einreise und Anwesenheit, in: Peter Uebersax/Peter Münch/Thomas Geiser/Martin Arnold, Ausländerrecht, Ausländerinnen und Ausländer im öffentlichen Recht, Privatrecht, Steuerrecht und Sozialrecht, Basel/Genf/München 2002, S. 155 f.; Peter Kottusch, a.a.O., S. 544 f.). Eine siebenjährige Abwesenheit ist dementsprechend zu berücksichtigen, sie schliesst jedoch nicht ohne Weiteres einen engen Bezug zur Schweiz aus, weshalb sämtliche Umstände des konkreten Einzelfalles zu würdigen sind.</w:t>
      </w:r>
    </w:p>
    <w:p>
      <w:r>
        <w:rPr>
          <w:b/>
        </w:rPr>
        <w:t>E. 6.3</w:t>
      </w:r>
    </w:p>
    <w:p>
      <w:r>
        <w:t>Das Kriterium der Verbundenheit mit der Schweiz stellt einen vielfältigen Sachzusammenhang dar, welcher nebst den familiären Bezügen auch namentlich solche gesellschaftlicher, beruflicher und wirtschaftlicher Natur umfasst. Anhaltspunkte zur Beurteilung können sich insbesondere aus dem früheren Aufenthalt ergeben. Dagegen sind die Ausführungen der Rekurrentin zu ihren damaligen Schwierigkeiten in der Türkei eine Existenz aufzubauen und den damit verbundenen psychischen Folgen grundsätzlich unbeachtlich. Denn vorliegend steht nicht der Verbleib in der Schweiz in Frage, sondern die Art der fremdenpolizeilichen Regelung. Der Umstand, dass sich eine Person vorerst mit einer Aufenthaltsbewilligung begnügen muss, wird kaum das Ausmass einer Härte annehmen, dem gegenüber das öffentliche Integrationsinteresse zurückstehen müsste.</w:t>
      </w:r>
    </w:p>
    <w:p>
      <w:r>
        <w:rPr>
          <w:b/>
        </w:rPr>
        <w:t>E. 6.4</w:t>
      </w:r>
    </w:p>
    <w:p>
      <w:r>
        <w:t>Die Beschwerdeführerin ist in der Schweiz geboren, absolvierte hier ihre gesamte Schulzeit und war nach eigenen Angaben bereits vor ihrer Ausreise als angelernte Laborantin in einem Fotofachgeschäft erwerbstätig. Die heute 29-jährige Beschwerdeführerin hat somit den prägenden und wesentlichen Teil ihres Lebens in der Schweiz verbracht. Obschon ihrem Aufenthalt in der Türkei aufgrund seiner zeitlichen Dauer eine gewisse Relevanz zukommt, gilt es diesen in Bezug zum 19-jährigen Aufenthalt in der Schweiz zu setzen. Dass die Beschwerdeführerin ihre gesamte Kindheit und Adoleszenz in der Schweiz verbrachte, relativiert die siebenjährige Abwesenheit und lässt auf eine enge Verbundenheit zur Schweiz schliessen. Zudem spricht auch der familiäre Bezug dafür, dass die Beschwerdeführerin während ihrer Abwesenheit mit der Schweiz verbunden blieb. Wie sich aus den Akten und den Angaben der Rekurrentin ergibt, kehrte sie zusammen mit ihrem Vater und ihrem jüngeren Bruder in die Türkei zurück. Ihre Mutter und ihr älterer Bruder blieben indessen in der Schweiz. Zu diesen nahen Familienangehörigen pflegte die Beschwerdeführerin im Rahmen von Besuchsaufenthalten weiterhin Kontakt. Nachdem ihr Vater und ihr Bruder im März 2002 wieder in die Schweiz zurückkehrten und aufgrund des Familiennachzuges eine Niederlassungsbewilligung erhielten, befanden sich von diesem Zeitpunkt an sämtliche nahen Familienangehörigen in der Schweiz. Der primäre familiäre Bezug scheint daher zur Schweiz gegeben. Ferner lassen die im kantonalen Bewilligungsverfahren beigebrachten Referenzen und Stellenangebote von Arbeitgebern, die zwar für sich gesehen den Bezug zur Schweiz nicht zu begründen vermögen, auf ein gewisses gesellschaftliches Beziehungsnetz in der Schweiz schliessen. Entgegen der vorinstanzlichen Verfügung ist somit im vorliegenden Fall trotz der siebenjährigen Landesabwesenheit von einer engen Verbundenheit mit der Schweiz auszugehen.</w:t>
      </w:r>
    </w:p>
    <w:p>
      <w:r>
        <w:rPr>
          <w:b/>
        </w:rPr>
        <w:t>E. 7.1</w:t>
      </w:r>
    </w:p>
    <w:p>
      <w:r>
        <w:t>Bei der Ausübung des Ermessens - namentlich zur der Erteilung der Niederlassungsbewilligung - ist jedoch auch der Integrationsgrad der Ausländerin bzw. des Ausländers zu berücksichtigen (vgl. Ziff. 5.1 sowie Art. 3b Abs. 1 VIntA). Dabei ist die heutige Sachlage massgebend (vgl. Ziff. 2). Die Beschwerdeführerin hält sich nunmehr seit vier Jahren wieder in der Schweiz auf und ist mit einem Schweizer Staatsbürger verheiratet. Insgesamt ist die 29-jährige Beschwerdeführerin nun 23 Jahre in der Schweiz wohnhaft. Nachdem ihr im Juli 2003 eine Aufenthaltsbewilligung erteilt wurde, konnte sich die Rekurrentin zudem auch in beruflicher Hinsicht in der Schweiz integrieren und ist seit März 2004 teilzeitlich erwerbstätig. Aufgrund ihrer Schulzeit in der Schweiz erfüllt sie ausserdem die Anforderungen, welche an eine sprachliche Integration gestellt werden (vgl. dazu Rundschreiben des BFM vom 1. Februar 2006 zur Teilrevision der Verordnung vom 13. September 2000 über die Integration von Ausländerinnen und Ausländern [VInta], Beilage [Weisung Ziff. 333.42]). Zwar hat die Beschwerdeführerin während ihrer Besuchsaufenthalte in den Jahren 2001 und 2003 die erlaubte Aufenthaltsdauer überschritten, um das kantonale Verfahren zur Erteilung einer Aufenthaltsbewilligung einzuleiten. Sie kam indessen beide Male der nachträglich eingeräumten Frist zum Verlassen der Schweiz nach. Weitere Umstände, die gegen die Rekurrentin sprechen, sind nicht ersichtlich.</w:t>
      </w:r>
    </w:p>
    <w:p>
      <w:r>
        <w:rPr>
          <w:b/>
        </w:rPr>
        <w:t>E. 7.2</w:t>
      </w:r>
    </w:p>
    <w:p>
      <w:r>
        <w:t>Aus diesen Gründen ist somit auch unter Berücksichtigung der gegenwärtigen Situation die sofortige Entlassung der Beschwerdeführerin aus der eidgenössischen Kontrolle gerechtfertigt.</w:t>
      </w:r>
    </w:p>
    <w:p>
      <w:r>
        <w:rPr>
          <w:b/>
        </w:rPr>
        <w:t>E. 8</w:t>
      </w:r>
    </w:p>
    <w:p>
      <w:r>
        <w:t>Indem die Vorinstanz wegen des siebenjährigen Auslandsaufenthalts von vornherein davon absah, die persönliche Situation der Beschwerdeführerin zu prüfen, hat sie den konkreten Umständen des Einzelfalls nicht ausreichend Rechnung getragen und verzichtete auf das ihr in Art. 10 Abs. 1 ANAV eingeräumte Ermessen. Folglich hat sie ihr zustehendes Ermessen nicht pflichtgemäss ausgeübt, weshalb die angefochtene Verfügung gegen Art. 49 Bst. a VwVG verstösst (vgl. Alfred Kölz/Isabelle Häner, Verwaltungsverfahren und Verwaltungsrechtspflege des Bundes, Zürich 1998, S. 224).</w:t>
      </w:r>
    </w:p>
    <w:p>
      <w:r>
        <w:rPr>
          <w:b/>
        </w:rPr>
        <w:t>E. 9</w:t>
      </w:r>
    </w:p>
    <w:p>
      <w:r>
        <w:t>Die Beschwerde ist somit gutzuheissen. Entsprechend dem Verfahrensausgang sind der Beschwerdeführerin keine Kosten aufzuerlegen (Art. 63 Abs. 1 VwVG). Der geleistete Kostenvorschuss ist zurückzuerstatten.</w:t>
      </w:r>
    </w:p>
    <w:p>
      <w:r>
        <w:rPr>
          <w:b/>
        </w:rPr>
        <w:t>E. 10</w:t>
      </w:r>
    </w:p>
    <w:p>
      <w:r>
        <w:t>Der Beschwerdeführerin, die während des grössten Teils des Verfahrens einen nichtanwaltlichen Vertreter beauftragte, ist eine Parteientschädigung in der Höhe von Fr. 800.-- (inkl. 7.6 % MwSt.) zuzusprechen (Art. 64 Abs. 1 VwVG i.V.m. Art. 7 Abs. 1, Art. 8 -10 und Art. 14 Abs. 2 des Reglementes vom 11. Dezember 2006 über die Kosten und Entschädigungen vor dem Bundesverwaltungsgericht [VGKE, SR 173.320.2]. *******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