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C-3897/2007 vom 28. Mai 2009</w:t>
      </w:r>
    </w:p>
    <w:p>
      <w:r>
        <w:t>Bundesverwaltungsgericht, 2009-05-28, FR</w:t>
      </w:r>
    </w:p>
    <w:p>
      <w:r>
        <w:rPr>
          <w:b/>
        </w:rPr>
        <w:t xml:space="preserve">Quelle: </w:t>
      </w:r>
      <w:r>
        <w:t>https://mcp.opencaselaw.ch/entscheid/bvger_C-3897_2007</w:t>
      </w:r>
    </w:p>
    <w:p>
      <w:r>
        <w:t>FR: TAF C-3897/2007 du 28 mai 2009</w:t>
      </w:r>
    </w:p>
    <w:p>
      <w:r>
        <w:t>IT: TAF C-3897/2007 del 28 maggio 2009</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donc pas applicables et les dispositions citées ci-après sont celles en vigueur jusqu'au 31 décembre 2007.</w:t>
      </w:r>
    </w:p>
    <w:p>
      <w:r>
        <w:rPr>
          <w:b/>
        </w:rPr>
        <w:t>E. 3.2</w:t>
      </w:r>
    </w:p>
    <w:p>
      <w:r>
        <w:t>Le recourant a présenté sa demande de rente le 18 novembre 2003. En dérogation à l'art. 24 LPGA, l'art. 48 al. 2 LAI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18 novembre 2002 ou si le droit à une rente était né entre cette date et le 15 mai 2007, date de la décision sur opposition attaquée marquant la limite dans le temps du pouvoir d'examen de l'autorité de recours (ATF 129 V 1 consid. 2.1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L'assuré a droit à un quart de rente s'il est invalide à 40% au moins, à une demi-rente s'il est invalide à 50%, à trois-quarts de rente s'il est invalide à 60% et à une rente entière s'il est invalide à 70% au moins (art. 28 al. 1 LAI). Antérieurement au 1er janvier 2004 le seuil de 40% était également applicable, le droit à une demi-rente s'ouvrait à compter d'une invalidité de 50% et le droit à une rente entière à compter d'une invalidité de 66.66%.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5.3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du règlement du 17 janvier 1961 sur l'assurance-invalidité [RAI, RS 831.201]), la lettre b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w:t>
      </w:r>
    </w:p>
    <w:p>
      <w:r>
        <w:rPr>
          <w:b/>
        </w:rPr>
        <w:t>E. 6.1</w:t>
      </w:r>
    </w:p>
    <w:p>
      <w:r>
        <w:t>L'assuré a exercé pendant de longues années l'activité de maçon en Suisse et au Portugal, c'est au regard de cette activité que son invalidité doit, cas échéant, être appréciée, sous réserve de l'obligation pour tout assuré d'exercer toute autre activité raisonnablement exigible.</w:t>
      </w:r>
    </w:p>
    <w:p>
      <w:r>
        <w:rPr>
          <w:b/>
        </w:rPr>
        <w:t>E. 6.2</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6.3</w:t>
      </w:r>
    </w:p>
    <w:p>
      <w:r>
        <w:t>Dans les cas où il est particulièrement difficile de déterminer les revenus avant et après l'invalidité, la jurisprudence admet que l'évaluation de la perte de gain soit faite, exceptionnellement, par une méthode dite extraordinaire. En ce qui concerne la détermination de l'incapacité de gain des travailleurs indépendants, le Tribunal fédéral (des assurances) a établi que l'invalidité doit être évaluée, dans l'activité exercée, d'après l'incidence de la capacité de rendement amoindrie sur la situation économique concrète (cf. ATF 128 V 29 consid. 1). Sur la base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Dans ce cas là, en effet, la comparaison des activités exercées avant et après la survenance de l'invalidité n'est plus possible (RAMA 1995 p. 107) et dès lors s'applique la méthode générale fondée sur une comparaison de revenus théoriques statistiques sans et avec invalidité.</w:t>
      </w:r>
    </w:p>
    <w:p>
      <w:r>
        <w:rPr>
          <w:b/>
        </w:rPr>
        <w:t>E. 6.4</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7.1</w:t>
      </w:r>
    </w:p>
    <w:p>
      <w:r>
        <w:t>En l'espèce l'intéressé présente notamment des lombosciatalgies gauches irradiant au membre inférieur gauche après une double opération pour hernie discale en 1994 et 2002.</w:t>
      </w:r>
    </w:p>
    <w:p>
      <w:r>
        <w:rPr>
          <w:b/>
        </w:rPr>
        <w:t>E. 7.2</w:t>
      </w:r>
    </w:p>
    <w:p>
      <w:r>
        <w:t>A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8.1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10.1</w:t>
      </w:r>
    </w:p>
    <w:p>
      <w:r>
        <w:t>En l'espèce, l'intéressé a déclaré en 1991 une petite hernie discale en L5-S1 médiane et paramédiane gauche et une arthrose articulaire postérieure plus marquée en L5-S1 et L4-L5, affections qui n'ont plus permis à l'assuré d'effectuer des travaux de force. Rentré au Portugal il a néanmoins exercé en tant qu'indépendant à compter de 1992 l'activité de maçon et a subi deux opérations pour hernie discale en 1994 et 2002 en raison de lombalgies et sciatalgies chroniques. En 1997 le Dr D._______ releva que l'intéressé ne pouvait plus exercer de travaux lourds. L'intéressé fut opéré en 2002 avec un certain succès si l'on se réfère à un rapport médical du 30 mars 2004 notant certes des lombalgies avec irradiation au MIG mais n'indiquant aucune incapacité à l'exercice de la profession de l'intéressé. Toutefois, il appert selon la documentation médicale la résurgence de lombalgies et irradiations au MIG avec paresthésie et diminution de la force musculaire, affections limitant la capacité de travail de l'intéressé dans sa profession à hauteur de 50% selon le rapport E 213 de la Sécurité sociale portugaise du 8 juin 2005 et à hauteur de 70% selon le rapport du Dr D._______ du 21 juin 2005. Le service médical de l'OAIE a confirmé une incapacité de travail de l'intéressé pour les travaux lourds, dont l'activité de maçon, à hauteur de 70% à compter de la deuxième opération pour hernie discale tout en retenant une pleine capacité de travail dans une activité légère voire moyenne. L'OAIE s'en est tenu à cette appréciation à compter de sa décision du 25 janvier 2005 confirmée par sa décision sur opposition du 15 mai 2007. Les derniers rapports médicaux du Dr D._______ ont à chaque fois confirmé une incapacité de travail de 70% dans les travaux lourds sans s'exprimer sur la capacité de travail dans des travaux légers voire moyens.</w:t>
      </w:r>
    </w:p>
    <w:p>
      <w:r>
        <w:rPr>
          <w:b/>
        </w:rPr>
        <w:t>E. 10.2</w:t>
      </w:r>
    </w:p>
    <w:p>
      <w:r>
        <w:t>Le Tribunal de céans, au vu du dossier, peut confirmer l'appréciation de l'OAIE car si effectivement l'intéressé ne peut plus exercer de travaux lourds en raison de ses affections, il est vraisemblable que l'intéressé n'ayant aucune limitation aux membres supérieurs et pouvant se déplacer, même éventuellement comme allégué de façon limitée et devant éviter les positions orthostatiques, peut exercer toute activité légère voire moyenne permettant de travailler en positions variées sans position orthostatique sur la durée. Il est vrai que le Dr E._______ dans son rapport du 5 juillet 2005 a mis en évidence un trouble fonctionnel prononcé (pce 32). Toutefois ce médecin ne s'est pas exprimé sur une éventuelle incapacité de travail dans des activités de substitution. Les autres rapports remis par le recourant se sont également limités à indiquer que ce dernier ne peut plus travailler comme maçon sans toutefois exclure une activité légère (cf. pce 52 et pce TAF 9). Compte tenu du fait qu'il n'y a pas de divergence entre les certificats médicaux au sujet de l'exigibilité d'une activité de substitution, l'OAIE n'a pas procédé à raison à un complément d'instruction. Au nombre des activités de substitution entrant en ligne de compte sont par exemple celles nombreuses dans l'industrie et la production légère à moyenne, les services de réparation de petits appareils, les activités de magasinier, de gardien et surveillant d'immeuble / de chantier, de caissier. Il s'ensuit que c'est à juste titre que l'OAIE a retenu que l'intéressé n'était pas limité dans les activités légères à moyennes car rien au dossier, ni même les rapports médicaux du Dr D._______, ne permet de retenir une incapacité de travail quelconque dans les activités légères à moyennes plus ou moins sédentaires.</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11.3</w:t>
      </w:r>
    </w:p>
    <w:p>
      <w:r>
        <w:t>En l'espèce il y a lieu de procéder à une évaluation de l'invalidité selon la méthode générale par une comparaison de revenus entre, d'une part, le salaire mensuel moyen d'un salarié avec des connaissances professionnelles spécialisées (niveau 3) dans la construction en Suisse en 2004, soit, selon l'Enquête suisse sur les salaires 2004, Fr. 5'358.- pour 40 h./sem. et Fr. 5'585.72.- pour 41.7 h./sem. selon le temps de travail usuel dans la branche de la construction, avec, d'autre part, un revenu théorique 2004 pour des activités de substitution simples et légères toutes branches confondues des secteurs de la production en général, des services collectifs et personnels, du commerce de détail, soit en moyenne Fr. 4'568.- pour 40 h./sem. et Fr. 4'751.41.- pour 41.6 h./sem. selon le temps de travail usuel toutes branches confondues, sous déduction d'un certain pourcentage pour raison d'âge et de limitations dans les travaux légers, in casu 5%, soit Fr. 4'513.84.-. Or, on constate que l'assuré, du fait de son invalidité, subit une diminution de sa capacité de gain de 19.19%, soit 19%. Or même un abattement de 15% du revenu pris en compte avec invalidité, pour raison d'âge et de mobilité réduite, qui serait déjà in casu élevé car dans une activité légère à moyenne ne nécessitant pas de grande mobilité l'intéressé est sans diminution de sa capacité de travail, l'invalidité se monterait à 28% et ne permettrait pas d'atteindre le seuil de 40%.</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du Tribunal fédéral I 294/99 du 4 juillet 2000 consid. 1; ATF 130 V 97 consid. 3.2 et les références citées; ATF 123 V 233 consid. 3c; Ueli Kieser, Schweizerisches Sozialversicherungsrecht, Zurich/St-Gall 2008, p. 204; Thomas Locher, Grundriss des Sozialversicherungsrechts, 3ème éd., Berne 2003, p. 122 s., 235, 268 ss).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Pratique VSI 1998 p. 296 consid. 3b).</w:t>
      </w:r>
    </w:p>
    <w:p>
      <w:r>
        <w:rPr>
          <w:b/>
        </w:rPr>
        <w:t>E. 13</w:t>
      </w:r>
    </w:p>
    <w:p>
      <w:r>
        <w:t>Vu ce qui précède, il s'ensuit que c'est à juste titre que la demande de prestations de l'assurance-invalidité déposée par le recourant le 18 novembre 2003 a été rejetée par décision sur opposition du 15 mai 2007 de l'OAIE.</w:t>
      </w:r>
    </w:p>
    <w:p>
      <w:r>
        <w:rPr>
          <w:b/>
        </w:rPr>
        <w:t>E. 14.1</w:t>
      </w:r>
    </w:p>
    <w:p>
      <w:r>
        <w:t>Vu l'issue de la cause, les frais de procédure, fixés par le Tribunal de céans à Fr. 300.- sont mis à la charge du recourant débouté (art. 69 al. 2 LAI en relation avec les art. 63 al. 1 et 5 PA et l'art. 3 let. b du règlement du 21 février 2008 concernant les frais, dépens et indemnités fixés par le Tribunal administratif fédéral [FITAF, RS 173.320.2]). Le montant en question de Fr. 300.- est compensé avec l'avance de frais fournie.</w:t>
      </w:r>
    </w:p>
    <w:p>
      <w:r>
        <w:rPr>
          <w:b/>
        </w:rPr>
        <w:t>E. 14.2</w:t>
      </w:r>
    </w:p>
    <w:p>
      <w:r>
        <w:t>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