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C-3896/2015 vom 9. Januar 2017</w:t>
      </w:r>
    </w:p>
    <w:p>
      <w:r>
        <w:t>Bundesverwaltungsgericht, 2017-01-09, DE</w:t>
      </w:r>
    </w:p>
    <w:p>
      <w:r>
        <w:rPr>
          <w:b/>
        </w:rPr>
        <w:t xml:space="preserve">Quelle: </w:t>
      </w:r>
      <w:r>
        <w:t>https://mcp.opencaselaw.ch/entscheid/bvger_C-3896_2015</w:t>
      </w:r>
    </w:p>
    <w:p>
      <w:r>
        <w:t>FR: TAF C-3896/2015 du 9 janvier 2017</w:t>
      </w:r>
    </w:p>
    <w:p>
      <w:r>
        <w:t>IT: TAF C-3896/2015 del 9 gennaio 2017</w:t>
      </w:r>
    </w:p>
    <w:p>
      <w:pPr>
        <w:pStyle w:val="Heading2"/>
      </w:pPr>
      <w:r>
        <w:t>Regeste</w:t>
      </w:r>
    </w:p>
    <w:p>
      <w:r>
        <w:t>Freiwillige Versicherung</w:t>
      </w:r>
    </w:p>
    <w:p>
      <w:pPr>
        <w:pStyle w:val="Heading2"/>
      </w:pPr>
      <w:r>
        <w:t>Erwägungen</w:t>
      </w:r>
    </w:p>
    <w:p>
      <w:r>
        <w:rPr>
          <w:b/>
        </w:rPr>
        <w:t>E. 1</w:t>
      </w:r>
    </w:p>
    <w:p>
      <w:r>
        <w:t>Anfechtungsobjekt ist vorliegend der Einspracheentscheid der SAK vom 13. Mai 2015, mit welchem der am 13. Januar 2015 verfügte Ausschluss des Beschwerdeführers aus der freiwilligen Versicherung bestätigt wurde.</w:t>
      </w:r>
    </w:p>
    <w:p>
      <w:r>
        <w:rPr>
          <w:b/>
        </w:rPr>
        <w:t>E. 1.1</w:t>
      </w:r>
    </w:p>
    <w:p>
      <w:r>
        <w:t>Gemäss Art. 31 i.V.m. Art. 33 Bst. d VGG und Art. 85bis Abs. 1 AHVG (SR 831.10)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Zu prüfen ist die strittige Frage, ob die vorliegende Beschwerde rechtzeitig eingereicht wurde.</w:t>
      </w:r>
    </w:p>
    <w:p>
      <w:r>
        <w:rPr>
          <w:b/>
        </w:rPr>
        <w:t>E. 1.4.1</w:t>
      </w:r>
    </w:p>
    <w:p>
      <w:r>
        <w:t>Es obliegt grundsätzlich der Vorinstanz, den Beweis der Tatsache sowie des Zeitpunktes der Zustellung einer Verwaltungsverfügung zu erbringen (BGE 136 V 295 E. 5.9; 124 V 400 E. 2a; 103 V 63 E. 2a). Die Feststellung von Tatsachen, welche für die (den Fristenlauf auslösende) Eröffnung der Verfügung erheblich sind, erfolgt mit Blick auf die Eigenheiten der Massenverwaltung anhand des Beweisgrades der überwiegenden Wahrscheinlichkeit (BGE 124 V 400 E. 2b). Der (volle) Beweis kann aber praktisch nur mit einem förmlichen Zustellnachweis erbracht werden (vgl. Urteil des BGer 9C_348/2009 vom 27. Oktober 2009 E. 2.1) und wird in der Regel durch postalischen Versand der Verfügung/Urteile als Gerichtsurkunde oder in anderer Weise gegen Empfangsbestätigung erbracht (vgl. Urteil des BGer 9C_753/2007 vom 29. August 2008 E. 3 mit Hinweisen). Da die verfügende Behörde die materielle Beweislast hinsichtlich der Zustellung sowie ihres Zeitpunktes trägt, ist im Zweifel grundsätzlich auf die Darstellung des Empfängers abzustellen (BGE 124 V 400 E. 2a).</w:t>
      </w:r>
    </w:p>
    <w:p>
      <w:r>
        <w:rPr>
          <w:b/>
        </w:rPr>
        <w:t>E. 1.4.2</w:t>
      </w:r>
    </w:p>
    <w:p>
      <w:r>
        <w:t>Ist ein gerichtliches Schriftstück oder eine Verwaltungsverfügung im Ausland zuzustellen, so hat dies mangels einer anderslautenden staatsvertraglichen Bestimmung oder eines anderweitigen Einverständnisses des betroffenen Staates auf dem diplomatischen oder konsularischen Weg zu erfolgen (BGE 124 V 47 E. 3a mit Hinweisen; vgl. auch Urteil des BVGer C-6346/2008 vom 18. Mai 2010 E. 5 mit Hinweisen), soweit es sich nicht um eine Mitteilung rein informativen Inhalts handelt, die keine Rechtswirkungen nach sich zieht und deshalb direkt per Post zugestellt werden darf. Ein anderes Vorgehen verstösst gegen Völkerrecht (BGE 136 V 295 E. 5.1 und 124 V 47 E. 3b, je mit Hinweisen; siehe auch die Verfügung des EVG [heute: BGer] K 18/04 vom 18. Juli 2006 E. 1.2 sowie das Urteil des BVGer C-2887/2011 vom 17. Oktober 2012 E. 3.2, je mit Hinweisen). Nach der bundesgerichtlichen Rechtsprechung sind die Folgen einer in Verletzung des Territorialitätsprinzips bzw. Völkerrechts erfolgten direkten postalischen Zustellung anhand der Umstände des Einzelfalles zu prüfen (vgl. zur Publikation vorgesehenes Urteil des BGer 2C_827/2015 vom 3. Juni 2016 E. 3.4 mit Hinweisen).</w:t>
      </w:r>
    </w:p>
    <w:p>
      <w:r>
        <w:rPr>
          <w:b/>
        </w:rPr>
        <w:t>E. 1.4.3</w:t>
      </w:r>
    </w:p>
    <w:p>
      <w:r>
        <w:t>Die Eröffnung der Verfügung erfolgt schriftlich (Art. 49 Abs. 1 ATSG). Nach Art. 55 Abs. 1bis ATSG kann der Bundesrat vorsehen, dass die Be-stimmungen des VwVG über den elektronischen Verkehr mit Behörden auch für Verfahren im Bereich des ATSG gelten. Demnach könnte die Eröffnung von Verfügungen unter gewissen Voraussetzungen und mit dem Einverständnis der Partei auf dem elektronischen Weg erfolgen (Art. 34 Abs. 1bis VwVG). Der Bundesrat hat aber von der ihm in Art. 55 Abs. 1bis ATSG übertragenen Kompetenz vorerst keinen Gebrauch gemacht (vgl. Ueli Kieser, ATSG-Kommentar, 3. Aufl. 2015, Art. 55 N. 27). Die Eröffnung einer Verfügung in elektronischer Form ist im Beitragsrecht der Sozialversicherung somit nicht vorgesehen (vgl. Urteil des BVGer C-947/2011 vom 27. November 2012 E. 7.3).</w:t>
      </w:r>
    </w:p>
    <w:p>
      <w:r>
        <w:rPr>
          <w:b/>
        </w:rPr>
        <w:t>E. 1.4.4</w:t>
      </w:r>
    </w:p>
    <w:p>
      <w:r>
        <w:t>Nach der Rechtsprechung ist nicht jede mangelhafte Eröffnung schlechthin nichtig mit der Konsequenz, dass die Rechtsmittelfrist nicht zu laufen beginnen könnte. Aus der mangelhaften Eröffnung einer Verfügung darf der betroffenen Person gemäss Art. 49 Abs. 3 ATSG aber kein Nachteil erwachsen. Aus diesem Grundsatz folgt,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So lässt sich mit den Grundsätzen des Vertrauensschutzes und der Rechtssicherheit nicht vereinbaren, dass ein Verwaltungsakt wegen mangelhafter Rechtsmittelbelehrung jederzeit an das Gericht weitergezogen werden kann; vielmehr muss ein solcher Verwaltungsakt innerhalb einer vernünftigen Frist in Frage gestellt werden (statt vieler: BGE 106 V 93 E. 2a). Bei einer mangelhaften Eröffnung muss so verfahren werden, dass die Möglichkeit, ein Rechtsmittel zu ergreifen, nicht eingeschränkt oder vereitelt wird. Dabei sind die Folgen je nach Einzelfall festzulegen. Gegebenenfalls ist das Rechtsmittel trotz verspäteter Einreichung entgegenzunehmen (Kieser, ATSG-Kommentar, a.a.O., Art. 49 N. 62 mit weiteren Hinweisen).</w:t>
      </w:r>
    </w:p>
    <w:p>
      <w:r>
        <w:rPr>
          <w:b/>
        </w:rPr>
        <w:t>E. 1.4.5</w:t>
      </w:r>
    </w:p>
    <w:p>
      <w:r>
        <w:t>Der angefochtene Einspracheentscheid vom 13. Mai 2015 wurde laut den vorinstanzlichen Akten (SAK-act. 71/1) dem in Costa Rica wohnhaften Beschwerdeführer am 13. Mai 2015 "auch per E-Mail" (an: ...) übermittelt. Der Eingang der E-Mail wurde noch am 13. Mai 2015 verdankt mit dem Hinweis, man werde sich an das Bundesverwaltungsgericht wenden; die Angabe der die E-Mail verfassenden Person fehlte allerdings (SAK-act. 72/1). Aus dem Wortlaut der vorinstanzlichen E-Mail ist zu schliessen, dass der Einspracheentscheid dem Beschwerdeführer auch noch auf anderem Weg übermittelt wurde. Unklar ist allerdings, ob, wann und auf welche Weise diese Zustellung erfolgt ist. Aus den Akten ergeben sich diesbezüglich keine Hinweise. Zulässig wäre einzig der diplomatische oder konsularische Weg gewesen, nachdem zwischen der Schweiz und Costa Rica keine anderslautende Vereinbarung besteht (vgl. E. 1.4.2). Auch die dem angefochtenen Einspracheentscheid zugrunde liegende Verfügung vom 13. Januar 2015 wurde offenbar auf dem diplomatischen Weg zugestellt (vgl. SAK-act. 75/16). Die hinsichtlich des Beginns des Fristenlaufs beweispflichtige Vorinstanz hat in Bezug auf die diplomatische Zustellung des Einspracheentscheides aber keine Angaben gemacht und damit den erforderlichen Nachweis nicht erbracht, weshalb sie die Folgen der Beweislosigkeit zu tragen hat (vgl. E. 1.4.1). Die elektronische Zustellung des Einspracheentscheides ist im ATSG sodann nicht vorgesehen (vgl. E. 1.4.3). Der angefochtene Einspracheentscheid wurde somit mangelhaft eröffnet. Nach dem Gesagten ist davon auszugehen, dass der Beschwerdeführer am 13. Mai 2015 vom Einspracheentscheid per E-Mail Kenntnis erhielt, auch wenn die Bestätigungsmail keinen Verfasser nennt. Die Kenntnisnahme durch den Beschwerdeführer ist unbestritten und die Bestätigungsmail wurde von der E-Mailadresse des Beschwerdeführers versendet. Irreführend war jedoch der Hinweis in der vorinstanzlichen E-Mail, der Beschwerdeführer bekomme den Entscheid "auch per E-Mail". Der Beschwerdeführer durfte aufgrund dieses Hinweises die Eröffnung des Entscheides auf anderem, namentlich diplomatischem Weg erwarten, zumal ihm die Verfügung vom 13. Januar 2015 ebenfalls auf diesem ordentlichen Weg eröffnet worden war. Damit war aber unklar, wann die Rechtsmittelfrist tatsächlich zu laufen begann. Dass der (rechtlich nicht geschulte) Beschwerdeführer im vorliegenden Verfahren diesbezüglich keine expliziten Erläuterungen macht und eine Korrespondenz via E-Mail grundsätzlich begrüsst (vgl. BVGer-act. 1), ändert nichts daran, dass die Vorinstanz unter den konkreten Umständen bzw. insbesondere angesichts ihres unkorrekten Verhaltens eine (um sieben Tage) verspätete Beschwerdeeinreichung nicht geltend machen kann. Vielmehr ist als Rechtsfolge des Vertrauensschutzes die (hier massgebliche) Übergabe der Beschwerde an die schweizerische Post am 19. Juni 2015 (BVGer-act. 7) als innert einer vernünftigen Frist erfolgt zu betrachten. Somit gilt die Beschwerde als frist- und formgerecht eingereicht (vgl. Art. 60 Abs. 1 ATSG und Art. 52 Abs. 1 VwVG), weshalb auf sie einzutreten ist.</w:t>
      </w:r>
    </w:p>
    <w:p>
      <w:r>
        <w:rPr>
          <w:b/>
        </w:rPr>
        <w:t>E. 2.1</w:t>
      </w:r>
    </w:p>
    <w:p>
      <w:r>
        <w:t>Nach der Rechtsprechung stellt das Sozialversicherungsgericht bei der Beurteilung einer Streitsache in der Regel auf den bis zum Zeitpunkt des Erlasses des streitigen Entscheides (hier: 13. Mai 2015)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Sachverhaltes Geltung hatten (BGE 130 V 329 E. 2.3). Für das vorlie-gende Verfahren sind deshalb das per 1. Januar 2003 in Kraft getretene ATSG sowie das AHVG, die AHVV (SR 831.101) sowie die Verordnung vom 26. Mai 1961 über die freiwillige Alters-, Hinterlassenen- und Invalidenversicherung (VFV, SR 831.111) anwendbar. Massgebend sind jeweils die im Zeitpunkt des Einspracheentscheides gültig gewesenen Fassungen, auf welche in den folgenden Erwägungen Bezug genommen wird.</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w:t>
      </w:r>
    </w:p>
    <w:p>
      <w:r>
        <w:t>Zunächst sind die für die Beurteilung der Streitsache massgebenden Normen sowie die hier anwendbaren Rechtsprechungsgrundsätze darzulegen.</w:t>
      </w:r>
    </w:p>
    <w:p>
      <w:r>
        <w:rPr>
          <w:b/>
        </w:rPr>
        <w:t>E. 3.1</w:t>
      </w:r>
    </w:p>
    <w:p>
      <w:r>
        <w:t>Art. 2 AHVG bestimmt, dass Schweizer Bürger sowie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(Abs. 1). Die Versicherten können von der freiwilligen Versicherung zurücktreten (Abs. 2). Versicherte, welche die nötigen Auskünfte nicht erteilen oder ihre Beiträge nicht fristgerecht bezahlen, werden aus der freiwilligen Versicherung ausgeschlossen (Abs. 3).</w:t>
      </w:r>
    </w:p>
    <w:p>
      <w:r>
        <w:rPr>
          <w:b/>
        </w:rPr>
        <w:t>E. 3.2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3.3</w:t>
      </w:r>
    </w:p>
    <w:p>
      <w:r>
        <w:t>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w:t>
      </w:r>
    </w:p>
    <w:p>
      <w:r>
        <w:rPr>
          <w:b/>
        </w:rPr>
        <w:t>E. 3.4</w:t>
      </w:r>
    </w:p>
    <w:p>
      <w:r>
        <w:t>Gemäss Art. 13 Abs. 1 Bst. a VFV werden die Versicherten aus der freiwilligen Versicherung ausgeschlossen, wenn sie die für das Beitragsjahr geschuldeten Beiträge bis zum 31. Dezember des folgenden Kalenderjahres nicht vollständig bezahlen. Nach der bundesgerichtlichen Rechtsprechung stellt der Ausschluss aus der freiwilligen Versicherung einen schwerwiegenden Eingriff in die Rechtsstellung des Betroffenen dar. Der vom Ausschluss bedrohte Versicherte muss daher genau wissen, wie er den Ausschluss abwenden kann (vgl. BGE 117 V 97 E. 2c, bestätigt mit Urteil des BGer H 224/04 vom 28. April 2005). Aus diesem Grund wurde in Art. 13 Abs. 2 VFV festgelegt, dass vor Ablauf der in Art. 13 Abs. 1 VFV vorgesehenen Frist eine eingeschriebene Mahnung ergehen muss und gleichzeitig die Androhung des Ausschlusses zu erfolgen hat. Die Androhung kann mit der Mahnung gemäss Art. 17 Abs. 2 Satz 2 VFV verbunden werden. Abs. 3 von Art. 13 VFV bestimmt schliesslich, dass der Ausschluss rückwirkend ab dem ersten Tag des Beitragsjahres gilt, für das die Beiträge nicht vollständig bezahlt wurden.</w:t>
      </w:r>
    </w:p>
    <w:p>
      <w:r>
        <w:rPr>
          <w:b/>
        </w:rPr>
        <w:t>E. 3.5</w:t>
      </w:r>
    </w:p>
    <w:p>
      <w:r>
        <w:t>Der Sozialversicherungsprozess ist vom Untersuchungsgrundsatz beherrscht (Art. 43 Abs. 1 ATSG).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Sachverhaltes genügt den Beweisanforderungen nicht. Der Richter und die Richterin haben vielmehr jener Sachverhaltsdarstellung zu folgen, die sie von allen möglichen Geschehensabläufen als die wahrscheinlichste würdigen (BGE 138 V 218 E. 6 mit Hinweis u.a. auf BGE 126 V 353 E. 5b und BGE 125 V 193 E. 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(BGE 138 V 218 E. 6). Die Folgen der Beweislosigkeit eines Sachumstandes trägt folglich die beweisbelastete Partei (Fritz Gygi, Bundesverwaltungsrechtspflege, 2. Aufl. 1983, S. 208).</w:t>
      </w:r>
    </w:p>
    <w:p>
      <w:r>
        <w:rPr>
          <w:b/>
        </w:rPr>
        <w:t>E. 3.6</w:t>
      </w:r>
    </w:p>
    <w:p>
      <w:r>
        <w:t>An die Nichtbeachtung der unter Androhung des Ausschlusses aus der freiwilligen Versicherung erfolgenden Mahnungen sind schwerwiegende Folgen geknüpft, weshalb auch an den Nachweis der ordnungsgemässen Zustellung der Mahnungen entsprechende Anforderungen zu stellen sind (vgl. z.B. Urteil des BVGer C-2887/2011 vom 17. Oktober 2012 E. 3.3).</w:t>
      </w:r>
    </w:p>
    <w:p>
      <w:r>
        <w:rPr>
          <w:b/>
        </w:rPr>
        <w:t>E. 4</w:t>
      </w:r>
    </w:p>
    <w:p>
      <w:r>
        <w:t>Im Folgenden ist zu prüfen, ob die Vorinstanz den Beschwerdeführer zu Recht aus der freiwilligen Versicherung ausgeschlossen hat.</w:t>
      </w:r>
    </w:p>
    <w:p>
      <w:r>
        <w:rPr>
          <w:b/>
        </w:rPr>
        <w:t>E. 4.1</w:t>
      </w:r>
    </w:p>
    <w:p>
      <w:r>
        <w:t>Der Beschwerdeführer wurde mit der vorinstanzlichen Verfügung vom 13. Januar 2015 aus der freiwilligen Versicherung ausgeschlossen mit der Begründung, er habe trotz der zweiten Mahnung seine Verpflichtungen gemäss Art. 13 Abs. 1 Bst. a und b VFV nicht erfüllt. Der ausstehende Betrag und das betroffene Beitragsjahr blieben in der Ausschlussverfügung unerwähnt. Der (anwaltlich nicht vertretene) Beschwerdeführer erwähnt die zweite Mahnung zu keinem Zeitpunkt und in keiner Weise. Dies erstaunt nicht, ergibt sich doch aus den Akten, dass die von der Vorinstanz eingeschrieben an den Wohnort des Beschwerdeführers in Costa Rica verschickte zweite Mahnung vom 28. Oktober 2014 dort nicht abgeholt und folglich an die Vorinstanz retourniert wurde (Eingang: 5. Januar 2015; SAK-act. 61/5). Die zweite Mahnung konnte den Beschwerdeführer somit nicht erreichen. Deren (versuchte) direkte postalische Zustellung war zudem nicht ordnungsgemäss. Die Mahnung hätte auf diplomatischem oder konsularischem Weg zugestellt werden müssen (vgl. E. 3.7). Angesichts der schwerwiegenden Folgen, welche an die Nichtbeachtung der gemäss Art. 13 Abs. 1 VFV erfolgenden Mahnungen geknüpft sind (vgl. E. 3.6), konnte die vorinstanzlich angewendete Zustellfiktion gemäss Art. 38 Abs. 2bis ATSG (vgl. BVGer-act. 11 S. 2) unter den vorliegenden Umständen nicht greifen. Dass der Beschwerdeführer offensichtlich Kenntnis hatte von der ersten Mahnung, welche vom 28. August 2014 datierte und einen betreffend die Beitragsverfügung 2013 ausstehenden Betrag von Fr. 10'495.80 nannte (SAK-act. 59, 62), ändert daran nichts. Vielmehr fehlt angesichts der nicht rechtswirksamen Zustellung der zweiten Mahnung eine der unabdingbar notwendigen Voraussetzungen für den Ausschluss des Beschwerdeführers aus der freiwilligen Versicherung (Urteil des BVGer C-1473/2011 vom 30. Juli 2012 E. 3.3 mit Hinweis). Aus dem Gesagten folgt, dass der Ausschluss des Beschwerdeführers aus der freiwilligen Versicherung nicht rechtens ist.</w:t>
      </w:r>
    </w:p>
    <w:p>
      <w:r>
        <w:rPr>
          <w:b/>
        </w:rPr>
        <w:t>E. 4.2</w:t>
      </w:r>
    </w:p>
    <w:p>
      <w:r>
        <w:t>Die vorliegende Beschwerde ist daher gutzuheissen und der angefochtene Einspracheentscheid vom 13. Mai 2015 sowie die diesem zugrunde liegende Ausschlussverfügung vom 13. Januar 2015 sind aufzuheben. Der Beschwerdeführer bleibt somit weiterhin der freiwilligen Versicherung angeschlossen.</w:t>
      </w:r>
    </w:p>
    <w:p>
      <w:r>
        <w:rPr>
          <w:b/>
        </w:rPr>
        <w:t>E. 5.1</w:t>
      </w:r>
    </w:p>
    <w:p>
      <w:r>
        <w:t>Das Verfahren ist für die Parteien kostenlos (Art. 85bis Abs. 2 AHVG), so dass keine Verfahrenskosten zu erheben sind.</w:t>
      </w:r>
    </w:p>
    <w:p>
      <w:r>
        <w:rPr>
          <w:b/>
        </w:rPr>
        <w:t>E. 5.2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der obsiegende Beschwerdeführer vorliegend nicht anwaltlich vertreten ist, keinen entsprechenden Antrag gestellt hat und ihm aufgrund der Aktenlage auch keine notwendigen, verhältnismässig hohen Kosten entstanden sind, wird ihm keine Parteientschädigung zugesprochen. Die unterliegende Vorinstanz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