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C-3887/2009 vom 30. Mai 2012</w:t>
      </w:r>
    </w:p>
    <w:p>
      <w:r>
        <w:t>Bundesverwaltungsgericht, 2012-05-30, DE</w:t>
      </w:r>
    </w:p>
    <w:p>
      <w:r>
        <w:rPr>
          <w:b/>
        </w:rPr>
        <w:t xml:space="preserve">Quelle: </w:t>
      </w:r>
      <w:r>
        <w:t>https://mcp.opencaselaw.ch/entscheid/bvger_C-3887_2009</w:t>
      </w:r>
    </w:p>
    <w:p>
      <w:r>
        <w:t>FR: TAF C-3887/2009 du 30 mai 2012</w:t>
      </w:r>
    </w:p>
    <w:p>
      <w:r>
        <w:t>IT: TAF C-3887/2009 del 30 maggio 2012</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Der Beschwerdeführer ist als Adressat der angefochtenen Verfügung zur Beschwerde legitimiert (Art. 48 Abs. 1 VwVG). Auf seine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Nach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und wegen ih­rer fortgeschrittenen Integration ein schwerwiegender persönlicher Härte­fall vorliegt (Bst. c). Die Regelung des Art. 14 Abs. 2 AsylG bildet eine Ausnahme von dem in Abs. 1 derselben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Die Ausnahmeregelung des Art. 14 Abs. 2 AsylG kommt unabhän­gig davon zur Anwendung, ob das Asylverfahren noch rechtshängig ist.</w:t>
      </w:r>
    </w:p>
    <w:p>
      <w:r>
        <w:rPr>
          <w:b/>
        </w:rPr>
        <w:t>E. 3.2</w:t>
      </w:r>
    </w:p>
    <w:p>
      <w:r>
        <w:t>Der Beschwerdeführer hat den Status einer nicht ausgereisten ausländi­schen Person mit negativem Asyl- und Wegweisungsentscheid. Da er über keinen Anspruch auf Erteilung einer Aufenthaltsbewilligung ver­fügt, muss er den Grundsatz der Ausschliesslichkeit des Asylverfah­rens gemäss Art. 14 Abs. 1 AsylG gegen sich gelten lassen. Folge ist, dass die ausländerrechtliche Regelung seines weiteren Aufenthaltes in der Schweiz nur gestützt auf die Ausnahmeregelung des Art. 14 Abs. 2 AsylG möglich ist. Die Voraussetzungen des Art. 14 Abs. 2 Bst. a und b AsylG erfüllt der Beschwerdeführer: Denn er hält sich seit Einreichung des Asylgesuchs im Jahr 2003 mehr als fünf Jahre in der Schweiz auf, und sein Aufenthaltsort war den Behörden immer bekannt. Zu prüfen bleibt, ob bei ihm nach Massgabe von Art. 14 Abs. 2 Bst. c AsylG "wegen der fortgeschrittenen Integration ein schwerwiegender persönlicher Härte­fall vorliegt".</w:t>
      </w:r>
    </w:p>
    <w:p>
      <w:r>
        <w:rPr>
          <w:b/>
        </w:rPr>
        <w:t>E. 3.3</w:t>
      </w:r>
    </w:p>
    <w:p>
      <w:r>
        <w:t>Nach der Rechtsprechung des Bundesverwaltungsgerichts ent­spricht der unbestimmte Rechtsbegriff des schwerwiegenden persönli­chen Härtefalls nach Art. 14 Abs. 2 Bst. c AsylG weitgehend dem Härtefall­begriff von Art. 30 Abs. 1 Bst. b des Bundesgesetzes vom 16. De­zem­ber 2005 über die Ausländerinnen und Ausländer (AuG, SR 142.20),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w:t>
      </w:r>
    </w:p>
    <w:p>
      <w:r>
        <w:rPr>
          <w:b/>
        </w:rPr>
        <w:t>E. 4.1</w:t>
      </w:r>
    </w:p>
    <w:p>
      <w:r>
        <w:t>In gleicher Weise wie im ordentlichen Ausländerrecht darf auch im An­wendungsbereich des Asylgesetzes ein schwerwiegender persönlicher Härtefall nicht leichthin angenommen werden. Erforderlich ist,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Darüber ist aufgrund der gesamten Umstände des Einzelfalles zu befinden. Beson­ders wichtige Wertungsgesichtspunkte führt beispielhaft Art. 31 Abs. 1 der Verordnung vom 24. Oktober 2007 über Zulassung, Aufenthalt und Erwerbstätigkeit (VZAE, SR 142.201) in Anlehnung an die Rechtspre­chung zum altrechtlichen Härtefallbegriff des Art. 13 Bst. f BVO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4.2</w:t>
      </w:r>
    </w:p>
    <w:p>
      <w:r>
        <w:t>Die Anerkennung als Härtefall setzt nicht zwingend voraus, dass die Anwesenheit in der Schweiz das einzige Mittel zur Verhinderung einer persönlichen Notlage darstellt. Auf der anderen Seite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Bundesverwaltungsgerichts C-4306/2007 vom 11. Dezember 2009 E. 6.3).</w:t>
      </w:r>
    </w:p>
    <w:p>
      <w:r>
        <w:rPr>
          <w:b/>
        </w:rPr>
        <w:t>E. 4.3</w:t>
      </w:r>
    </w:p>
    <w:p>
      <w:r>
        <w:t>Allerdings gilt es zu berücksichtigen, dass die ausländerrechtliche Zu­lassung wegen eines schwerwiegenden persönlichen Härtefalles nicht das Ziel verfolgt, eine ausländische Person gegen die Folgen eines Krie­ges oder des Missbrauchs staatlicher Gewalt zu schützen. Dafür stehen die Rechtsinstitute des Asyls oder der vorläufigen Aufnahme zur Verfü­gung (BGE 123 II 125 E. 3 S. 127 f.; 119 Ib 33 E. 4b S. 42 f.). Im Zusam­menhang mit dem schwerwiegenden persönlichen Härtefall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S. 128). Daraus er­gibt sich eine gewisse Überschneidung von Gründen, die den Wegwei­sungsvollzug betreffen, und solchen, die einen Härtefall (mit)begründen kön­nen. Dies ist nicht zu vermeiden und in Kauf zu nehmen.</w:t>
      </w:r>
    </w:p>
    <w:p>
      <w:r>
        <w:rPr>
          <w:b/>
        </w:rPr>
        <w:t>E. 5</w:t>
      </w:r>
    </w:p>
    <w:p>
      <w:r>
        <w:t>Vor dem Hintergrund der erwähnten Beurteilungskriterien stellt sich der ent­scheidswesentliche Sachverhalt wie folgt dar:</w:t>
      </w:r>
    </w:p>
    <w:p>
      <w:r>
        <w:rPr>
          <w:b/>
        </w:rPr>
        <w:t>E. 5.1</w:t>
      </w:r>
    </w:p>
    <w:p>
      <w:r>
        <w:t>Der Beschwerdeführer hält sich seit etwas mehr als acht Jahren in der Schweiz auf. Die Dauer seines bisherigen Aufenthalts kann (im vorlie­genden rechtlichen Kontext) sicherlich nicht mehr als kurz, aber auch noch nicht als besonders lange betrachtet werden. Ausschlaggebende Be­deutung kommt ihr jedenfalls nicht zu. Insbesondere kann der Beschwer­deführer nichts aus der Rechtsprechung des Bundesgerichts ab­leiten, wonach bei einer ausländischen Person, die sich seit zehn Jah­ren in der Schweiz aufhält, in der Regel vom Vorliegen eines schwerwiegen­den persönlichen Härtefalles auszugehen ist, sofern sie finan­ziell unabhängig, sozial und beruflich gut integriert, sich bis dahin klag­los verhalten und die Dauer des bisherigen Aufenthalts nicht durch miss­bräuchliches Ergreifen von Rechtsmitteln selbst verursacht hat. Denn diese Rechtsprechung bezieht sich auf Asylbewerber, über deren Asylge­such nach zehn Jahren immer noch nicht befunden wurde (BGE 124 II 125 E. 3 S. 112 f.). Damit wird der besonderen Situation dieser Personenkategorie Rechnung getragen, die von Verfahrens wegen gezwungen ist, den Kontakt zum Herkunftsland abzubrechen. Der Beschwerdeführer befindet sich aber in einer anderen Situation. Über die asylrechtliche Erheblichkeit der von ihm geltend gemachten Fluchtgründe wurde erstin­stanzlich im Januar 2005, zweitinstanzlich im November 2008 entschie­den. Sein Aufenthalt über die definitive Ausreisefrist hinaus gründet sich ausschliesslich auf der Duldung durch den Aufenthaltskanton während der Rechtshängigkeit des ausländerrechtlichen Bewilligungsverfahrens. We­der war der Beschwerdeführer während dieser Zeit gezwungen, den Kontakt zu seiner Heimat abgebrochen zu halten, noch konnte er in guten Treuen davon ausgehen, dass sein Aufenthalt in der Schweiz trotz abgewie­senem Asylgesuch geregelt werde. Es rechtfertigt sich vorliegend auch nicht, gestützt auf die Dauer des bisherigen Aufenthalts die Anforde­rungen an andere zu prüfende Wertungsgesichtspunkte herabzusetzen.</w:t>
      </w:r>
    </w:p>
    <w:p>
      <w:r>
        <w:rPr>
          <w:b/>
        </w:rPr>
        <w:t>E. 5.2</w:t>
      </w:r>
    </w:p>
    <w:p>
      <w:r>
        <w:t>Bezüglich seiner sozialen Integration machte der Beschwerdeführer in seinem an die kantonale Migrationsbehörde gerichteten, verfahrens­auslö­senden Gesuch vom 10. Dezember 2008 geltend, er habe sich dank seiner persönlichen Fähigkeiten, seines Charakters und Willens rasch in die hiesige Gesellschaft eingegliedert. Er habe bei seiner Arbeitstätigkeit in einem Restaurant und als Mitglied eines Fitness-Clubs zahlreiche Kon­takte zur schweizerischen Bevölkerung geknüpft. In sieben beigebrachten Schreiben verwendeten sich Bekannte des Beschwerdeführers für ein Blei­berecht und bestätigten dabei seine guten Charaktereigenschaften und eine gelungene Integration. Ebenfalls für ein Bleiberecht sprachen sich 26 Petitionäre auf einem Unterschriftsbogen aus, der bei gleicher Gele­genheit zu den Akten gegeben wurde. Demnach sei der Beschwerdeführer in seinem Umfeld als herzlicher und freundlicher Mitmensch bekannt. In seiner Stellungnahme zuhanden der Vorinstanz vom 7. Mai 2009 wies der Beschwerdeführer zusätzlich darauf hin, dass er regel­mässig eine öffentliche Bibliothek besuche, dort ausschliesslich deutschsprachige Medien ausleihe, und er hier in der Schweiz die Prü­fung für Fahrzeugführer abgelegt habe. In der Beschwerde legt er Wert auf die Feststellung, dass er in der Zeit seines Aufenthalts in der Schweiz ein "erstaunlich dichtes und intensives Beziehungsnetz" habe aufbauen kön­nen. In sprachlicher Hinsicht habe er einen Deutschkurs besucht, obwohl er die kantonalen Anforderungen an die Sprachkenntnisse bereits zu­vor erfüllt habe. Die kantonale Migrationsbehörde bestätigte schon in ih­rer Überweisung vom 24. Februar 2009, dass der Beschwerdeführer gut Deutsch spreche und einen Sprachtest sehr gut bestanden habe. Die vorhandenen Akten lassen ohne Zweifel darauf schliessen, dass der Be­schwerdeführer - vor allem an seinem Arbeitsplatz, aber auch im priva­ten Bereich - um eine Integration in sein schweizerisches Umfeld be­müht ist und er dabei auch gut vorankommt. Dennoch kann entgegen sei­ner eigenen Darstellung nicht davon ausgegangen werden, seine bishe­rige Integration in persönlich-sozialer Hinsicht sei weit überdurch­schnittlich. Darauf ist weder aus der Anzahl, noch dem Inhalt eingereich­ter Unterstützungsschreiben und auch nicht etwa schon aus einem ohne spezielle Aufforderung absolvierten Sprachkurs oder regelmässigen Besu­chen einer öffentlichen Bibliothek zu schliessen.</w:t>
      </w:r>
    </w:p>
    <w:p>
      <w:r>
        <w:rPr>
          <w:b/>
        </w:rPr>
        <w:t>E. 5.3</w:t>
      </w:r>
    </w:p>
    <w:p>
      <w:r>
        <w:t>Die Rechtsordnung scheint der Beschwerdeführer problemlos zu be­achten. Jedenfalls sind keine strafrelevanten Vorkommnisse aktenkundig und der Beschwerdeführer ist auch betreibungsrechtlich nicht verzeich­net, kommt also seinen finanziellen Verpflichtungen nach.</w:t>
      </w:r>
    </w:p>
    <w:p>
      <w:r>
        <w:rPr>
          <w:b/>
        </w:rPr>
        <w:t>E. 5.4</w:t>
      </w:r>
    </w:p>
    <w:p>
      <w:r>
        <w:t>In beruflicher Hinsicht begann der Beschwerdeführer im April 2004 (und damit frühzeitig) als Küchenbursche in einer Pizzeria zu arbeiten, über­nahm schon bald zusätzliche Arbeiten im Zusammenhang mit der Zube­reitung von Speisen und zügelte Mitte 2006 mit seinem Arbeitgeber in ein neues Lokal. Im März 2008 kündigte er sein Arbeitsverhältnis und trat bei einem Bruder seines bisherigen Arbeitgebers, ebenfalls in einer Piz­zeria eine gleichartige Stelle an. Diesen Arbeitsplatz belegt er offenbar noch heute. In beruflicher Hinsicht hat sich der Beschwerdeführer dem­nach in der Schweiz bisher als treuer und beständiger Arbeitnehmer erwie­sen. Auch in dieser Hinsicht kann sicherlich auf eine solide, nicht hin­gegen auf eine weit überdurchschnittliche Integration geschlossen wer­den.</w:t>
      </w:r>
    </w:p>
    <w:p>
      <w:r>
        <w:rPr>
          <w:b/>
        </w:rPr>
        <w:t>E. 5.5</w:t>
      </w:r>
    </w:p>
    <w:p>
      <w:r>
        <w:t>Definitiv nicht geteilt werden kann die Einschätzung des Beschwerdefüh­rers in Bezug auf die Möglichkeit einer Wiedereingliede­rung in der Türkei. Er weist darauf hin, dass er aus einer politisch aktiven und entsprechend verfolgten Familie stamme und an eine soziale Reintegra­tion unter solchen Umständen "nicht zu denken" sei. Demgegen­über hat der Beschwerdeführer Verwandte nicht nur in seiner Herkunftsregion, sondern beispielsweise auch in Istanbul. Warum diese An­gehörigen nicht in der Lage sein sollten, ihn gegebenenfalls zu unterstüt­zen, ist nicht einsichtig. Tritt hinzu, dass das Bundesverwaltungsgericht dem Beschwerdeführer in seinem asylrechtlichen Urteil D-4389/2006 vom 7. November 2008 nur bescheidenes politisches Profil zuerkannt und die von ihm geltend gemachte Furcht vor einer Reflexverfolgung als unbegründet betrachtet hat (E. 5.2). Unsubstantiiert, wenn nicht gar realitätsfremd sind auch die pauschal erhobenen Einwände in Bezug auf zu befürchtende Folgen eines versäumten Militärdienstes. Der Beschwerdeführer behauptet in diesem Zusammenhang, er habe eine empfindliche Strafe zu erwarten und müsse den versäumten Militärdienst unter widrigen Bedingungen nachholen. Mit solchen Einwänden ist - selbst wenn sie begründet sein sollten - eine Reintegration nicht ernsthaft in Frage zu stellen. Im Übrigen kann auf die Erwägungen unter Zif. 4.3 vorstehend verwiesen werden. Nicht geteilt werden kann auch die Auffassung des Beschwerdeführers, wonach ihm die berufliche Entwicklung in der Schweiz vom Küchengehilfen zum Küchenchef einer Pizzeria und die in diesem Zusammenhang erteilten guten Referenzen in der Türkei nichts nützen würden. Tatsache ist, dass er nicht nur mit seiner beruf­lichen Betätigung, sondern auch mit den hier erworbenen Sprachkennt­nissen Fähigkeiten erlangt hat, die - beispielsweise im touris­tischen Sektor - in der Türkei von grossem Nutzen sein können.</w:t>
      </w:r>
    </w:p>
    <w:p>
      <w:r>
        <w:rPr>
          <w:b/>
        </w:rPr>
        <w:t>E. 5.6</w:t>
      </w:r>
    </w:p>
    <w:p>
      <w:r>
        <w:t>In gesundheitlicher Hinsicht machte der Beschwerdeführer in seiner Rechtsmitteleingabe vom 15. Juni 2009 geltend, er sei durch den ablehnen­den Entscheid der Vorinstanz in eine existentielle seelische Not ge­raten, welche einen Suizidversuch zur Folge gehabt und die Einwei­sung in die kantonale Psychiatrische Klinik in Liestal notwendig gemacht habe. Aus dem nachgereichten ärztlichen Zeugnis der genannten Einrich­tung vom 18. Juni 2009 ergibt sich, dass der Patient wegen akuter Suizidali­tät freiwillig eingetreten sei. Er sei beim Eintritt affektiv deutlich her­abge­stimmt gewesen und habe von massiven Ängsten und Anspannun­gen im Zusammenhang mit dem "negativen Bescheid aus Bern" berichtet. Inzwischen sei die Suizidalität in den Hintergrund getre­ten, hingegen bestünden Symptome einer Depression. Diese habe durch­aus Krankheitswert, auch wenn sich keine Hinweise auf eine vorbestan­dene psychiatrische Erkrankung ergäben. Im Falle einer Ausschaffung müsse mit erneuter akuter Suizidalität gerechnet werden. In seiner Ein­gabe vom 7. Oktober 2011 hält der Beschwerdeführer fest, seine gesund­heitliche Situation habe sich seit dem Aufenthalt in der psychiatrischen Kli­nik stabilisiert. Er stehe momentan nicht in Behandlung. Die Stabilisie­rung sei darauf zurückzuführen, dass er seither nicht mehr in akuter Weise mit der Gefahr einer Rückschaffung in die Türkei konfrontiert wor­den sei. Bereits die letzte Korrespondenz des Bundesverwaltungsgerichts habe bei ihm aber wieder Verunsicherung und Angst ausgelöst.</w:t>
      </w:r>
    </w:p>
    <w:p>
      <w:r>
        <w:rPr>
          <w:b/>
        </w:rPr>
        <w:t>E. 5.6.1</w:t>
      </w:r>
    </w:p>
    <w:p>
      <w:r>
        <w:t>Die psychische Beeinträchtigung steht nach dem soeben Gesagten in einem ursächlichen Zusammenhang mit der angefochtenen Verfügung, mit der dem Beschwerdeführer eine Regelung seines Aufenthalts in der Schweiz versagt wurde. Dass der drohende Verlust einer tragfähigen Le­bensperspektive in der Schweiz und der damit verbundene Wegweisungs­vollzug je nach Veranlagung der betroffenen Person Depressi­onen bis hin zu suizidalen Gedanken bewirken kann und in vie­len Fällen auch bewirkt, liegt auf der Hand. Die Erfahrung zeigt aber auch, dass im Vollzugsstadium Drohungen mit Suizid einen neurotisch mani­pulativen Aspekt haben können, weshalb ihnen in aller Regel kritisch zu begegnen ist.</w:t>
      </w:r>
    </w:p>
    <w:p>
      <w:r>
        <w:rPr>
          <w:b/>
        </w:rPr>
        <w:t>E. 5.6.2</w:t>
      </w:r>
    </w:p>
    <w:p>
      <w:r>
        <w:t>Beim Beschwerdeführer handelt es sich gemäss den Ausführungen der beurteilenden Psychiaterin um einen motivierbaren und kooperativen Pa­tienten, weshalb davon auszugehen ist, dass den erwähnten Risiken mit geeigneten Mitteln wirksam begegnet werden kann. Den Vollzug als sol­chen bzw. die Chancen einer Wiedereingliederung im Heimatland stel­len diese Risiken für sich allein nicht in Frage (zur Suizidalität im Vollzug vgl. Urteil des Bundesverwaltungsgerichts C-7090/2007 vom 23. August 2011, E. 6.3.2.3). Eine adäquate Behandlung wäre auch in der Türkei mög­lich, sollte sich eine solche nach Durchführung des Vollzugs noch als notwendig erweisen. In der Türkei werden psychiatrische Behandlungsmöglichkeiten in ausreichendem Mass angeboten; mittellosen Bürgerinnen und Bürgern stehen sie kostenlos zur Verfügung (vgl. Urteil des Bundesverwaltungsgerichts C-7090/2007 vom 23. August 2011, E. 6.3.2.3).</w:t>
      </w:r>
    </w:p>
    <w:p>
      <w:r>
        <w:rPr>
          <w:b/>
        </w:rPr>
        <w:t>E. 5.7</w:t>
      </w:r>
    </w:p>
    <w:p>
      <w:r>
        <w:t>Im Sinne einer Gesamtbetrachtung aller im Zusammenhang mit der Härtefallfrage zu berücksichtigenden Faktoren ist demnach Fol­gen­des festzustellen: Der Beschwerdeführer weist eine - gemessen an der Dauer seiner bisherigen Anwesenheit in der Schweiz - solide so­ziale und berufliche Integration auf. Andererseits bringt er aber auch alle Voraussetzungen mit, die für eine erfolgreiche Reintegration in seinem Heimatland notwendig und hilfreich sind. Er ist verhältnis­mässig jung, familiär ungebunden, hat sich während seines Aufenthalts in der Schweiz berufliche und sprachliche Fähigkeiten zugelegt, die auch in der Türkei von Interesse sein können, und verfügt offenbar über Wesenszüge, die ihm den Zugang zu andern Menschen erleich­tern. Tritt hinzu, dass der Beschwerdeführer - bis auf die er­wähnte psychische Beeinträchtigung - gesund ist. Dass es ihm grosse Mühe bereitet, den Aufenthalt in der Schweiz und das hier aufgebaute berufliche und soziale Umfeld aufzugeben, ist nachvollziehbar. Dieser Umstand kann aber für die Beantwortung der Frage, ob eine Notlage im Sinne der einschlägigen Normen besteht, nicht entscheidend sein. Die Lebens- und Existenzbedingungen des Beschwerdeführers sind, gemessen am durchschnittlichen Schicksal von ausländischen Perso­nen, durch eine Rückkehr in die Türkei nicht in gesteigertem Mass in Frage gestellt. Die Verweigerung einer Aufenthaltsbewilligung ist für ihn nicht mit untragbar schweren Nachteilen verbunden.</w:t>
      </w:r>
    </w:p>
    <w:p>
      <w:r>
        <w:rPr>
          <w:b/>
        </w:rPr>
        <w:t>E. 6</w:t>
      </w:r>
    </w:p>
    <w:p>
      <w:r>
        <w:t>Aus dem Einwand, wonach die Vorinstanz in einem angeblich vergleichba­ren Fall anders entschieden habe, kann der Beschwerdefüh­rer nichts für sich ableiten. Sollte es zutreffen, dass im vom Beschwerdeführer angerufenen Vergleichsfall bei allen Beurteilungskriterien identische Verhältnisse bestanden - was der Beschwerdeführer mit seinem recht pauschalen Einwand ("alleinstehende Person, 6 Jahre Aufenthaltsdauer, Tätigkeit als Pizzabäcker") nicht dargetan hat - so könnte daraus allenfalls auf einen praxiswidrigen Einzelfall, nicht aber schon auf eine abweichende Praxis geschlossen werden (vgl. zum Ganzen Ulrich Häfelin / Georg Müller / Felix Uhlmann, Allgemeines Verwaltungsrecht, 6. Auflage 2010, N 518 ff.).</w:t>
      </w:r>
    </w:p>
    <w:p>
      <w:r>
        <w:rPr>
          <w:b/>
        </w:rPr>
        <w:t>E. 7</w:t>
      </w:r>
    </w:p>
    <w:p>
      <w:r>
        <w:t>Ist nach dem bisher Gesagten beim Beschwerdeführer nicht vom Vorliegen eines schwerwiegender persönlicher Härtefalles auszugehen, so hat die Vorin­stanz die Zustimmung zu einer Aufenthaltsregelung gestützt auf Art. 14 Abs. 2 AsylG zu Recht verweigert. Die angefochtene Ver­fügung erweist sich demnach als rechtmässig (Art. 49 VwVG) und die Beschwerde ist abzuweisen.</w:t>
      </w:r>
    </w:p>
    <w:p>
      <w:r>
        <w:rPr>
          <w:b/>
        </w:rPr>
        <w:t>E. 8</w:t>
      </w:r>
    </w:p>
    <w:p>
      <w:r>
        <w:t>Bei diesem Ausgang des Verfahrens sind dem Beschwerdeführer die Kos­ten aufzuerlegen (Art. 63 Abs. 1 VwVG i.V.m. Art. 1 ff. des Regle­ments vom 21. Februar 2008 über Kosten und Entschädigungen vor dem Bundesverwaltungsgericht [VGKE, SR 173.320.2]).</w:t>
      </w:r>
    </w:p>
    <w:p>
      <w:r>
        <w:rPr>
          <w:b/>
        </w:rPr>
        <w:t>E. 9</w:t>
      </w:r>
    </w:p>
    <w:p>
      <w:r>
        <w:t>Dieses Urteil ist endgültig (Art. 83 Bst. d Ziff. 1 des Bundesgerichtsge­set­zes vom 17. Juni 2005 [BGG, SR 173.110]).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