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C-3885/2010 vom 1. Juli 2011</w:t>
      </w:r>
    </w:p>
    <w:p>
      <w:r>
        <w:t>Bundesverwaltungsgericht, 2011-07-01, FR</w:t>
      </w:r>
    </w:p>
    <w:p>
      <w:r>
        <w:rPr>
          <w:b/>
        </w:rPr>
        <w:t xml:space="preserve">Quelle: </w:t>
      </w:r>
      <w:r>
        <w:t>https://mcp.opencaselaw.ch/entscheid/bvger_C-3885_2010</w:t>
      </w:r>
    </w:p>
    <w:p>
      <w:r>
        <w:t>FR: TAF C-3885/2010 du 1 juillet 2011</w:t>
      </w:r>
    </w:p>
    <w:p>
      <w:r>
        <w:t>IT: TAF C-3885/2010 del 1 luglio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w:t>
      </w:r>
    </w:p>
    <w:p>
      <w:r>
        <w:rPr>
          <w:b/>
        </w:rPr>
        <w:t>E. 5</w:t>
      </w:r>
    </w:p>
    <w:p>
      <w:r>
        <w:t>Le recourant conteste la validité matérielle de la décision de l'OAIE du 23 mars 2010, dans la mesure où il prétend avoir droit à une rente entière, un trois quart de rente, une demi-rente ou à un quart de rente d'invalidité.</w:t>
      </w:r>
    </w:p>
    <w:p>
      <w:r>
        <w:rPr>
          <w:b/>
        </w:rPr>
        <w:t>E. 6</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trois années au total (pce 6) et remplit, partant, la condition de la durée minimale de cotisations. Il reste dès lors à examiner s'il est invalide au sens de la LAI.</w:t>
      </w:r>
    </w:p>
    <w:p>
      <w:r>
        <w:rPr>
          <w:b/>
        </w:rPr>
        <w:t>E. 7.1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7.2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7.3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7.4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Selon les questionnaires aux actes, le recourant aurait pu exercer son activité de maçon à temps plein, 8 heures par jour, pour un salaire mensuel de EUR 1'305.41 sans devoir assumer un travail plus léger ni interrompre son activité pour raison de santé pendant cette période et aurait été licencié abusivement le 3 avril 2009. Or, le 23 mars 2008, le recourant a été victime d'un accident non professionnel qui a nécessité une ostéosynthèse. Le Tribunal de céans peut donc retenir qu'au moins jusqu'à cette date le recourant n'a pas présenté d'invalidité au sens des dispositions légales suisses.</w:t>
      </w:r>
    </w:p>
    <w:p>
      <w:r>
        <w:rPr>
          <w:b/>
        </w:rPr>
        <w:t>E. 8.2</w:t>
      </w:r>
    </w:p>
    <w:p>
      <w:r>
        <w:t>Pour la période successive, et en l'absence de données économiques, il faut donc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10.1</w:t>
      </w:r>
    </w:p>
    <w:p>
      <w:r>
        <w:t>Il ressort des pièces médicales au dossier que le recourant souffre essentiellement d'un status après une fracture comminutive du tibia/péroné traitée par ostéosynthèse et d'une cardiopathie hyperintensive avec extrasystolie ventriculaire traitée.</w:t>
      </w:r>
    </w:p>
    <w:p>
      <w:r>
        <w:rPr>
          <w:b/>
        </w:rPr>
        <w:t>E. 10.2</w:t>
      </w:r>
    </w:p>
    <w:p>
      <w:r>
        <w:t>En ce qui concerne les conséquences des affections diagnostiquées sur la capacité de travail, le médecin de l'INSS a relevé, dans le rapport E 213 du 18 août 2009 que l'évolution était favorable mais que le recourant ne pouvait plus travailler comme maçon, en revanche, une activité adaptée à temps complet en évitant la station debout prolongée, le port de charges et la surcharge de la jambe droite était toutefois exigible.</w:t>
      </w:r>
    </w:p>
    <w:p>
      <w:r>
        <w:rPr>
          <w:b/>
        </w:rPr>
        <w:t>E. 10.3</w:t>
      </w:r>
    </w:p>
    <w:p>
      <w:r>
        <w:t>De son côté, le médecin de l'OAIE, dans sa première prise de position du 7 décembre 2009, a considéré qu'en raison des suites de la fracture et de l'affection cardiaque, le recourant n'est plus en mesure d'exercer des travaux lourds, très exigeants physiquement, très stressants et sur terrains irréguliers. Concernant les autres affections dont est atteint l'assuré, en particulier l'hémochromatose et la cardiomyopathie, elles font l'objet d'un traitement thérapeutique adéquat. Il a donc estimé l'incapacité de travail dans l'activité habituelle à 70% dès mars 2008 et a reconnu une capacité de travail complète dans une activité de substitution dès le 1er juillet 2008, soit 4 mois après la survenue de la fracture et de son opération.</w:t>
      </w:r>
    </w:p>
    <w:p>
      <w:r>
        <w:rPr>
          <w:b/>
        </w:rPr>
        <w:t>E. 10.4</w:t>
      </w:r>
    </w:p>
    <w:p>
      <w:r>
        <w:t>Le recourant a, pour sa part, mis en exergue ses pathologies, leurs répercussions sur les activités ainsi que la reconnaissance par l'Espagne de son incapacité, il s'est également basé sur le rapport du Dr F._______ du 23 décembre 2009 qui retient la présence de douleurs cliniques périmalléolaires avec déficits de l'amplitude articulaire et le besoin d'aide pour marcher. S'exprimant sur le rapport médical du Dr F._______, le médecin de l'OAIE constate que celui-ci n'apporte aucun élément nouveau et ne s'exprime pas sur la capacité de travail du recourant.</w:t>
      </w:r>
    </w:p>
    <w:p>
      <w:r>
        <w:rPr>
          <w:b/>
        </w:rPr>
        <w:t>E. 10.5</w:t>
      </w:r>
    </w:p>
    <w:p>
      <w:r>
        <w:t>Au vu de ce qui précède, la Cour de céans constate que les médecins de l'INSS et de l'OAIE ont exprimé un avis concordant concernant la pleine capacité de travail dans une activité adaptée en tenant compte des limitations physiques et qu'aucun autre médecin n'a exprimé un avis discordant basé sur des constatations objectives concernant les limitations physiques et la capacité de travail résiduelle du recourant. Le Dr B._______ dans le rapport de suivi clinique avait d'ailleurs constaté une évolution favorable de la consolidation de la fracture en particulier lors des contrôles effectués les 8 juillet et 26 août 2008. Le Tribunal peut donc conclure que le recourant présente dès lors une incapacité de travail dans son activité habituelle de 70 % dès mars 2008 et une capacité de travail de 100% dans une activité de substitution dès le 1er juillet 2008.</w:t>
      </w:r>
    </w:p>
    <w:p>
      <w:r>
        <w:rPr>
          <w:b/>
        </w:rPr>
        <w:t>E. 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En l'espèce, l'autorité inférieure s'est fiée aux données statistiques suisses et non à celles espagnoles,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12.2</w:t>
      </w:r>
    </w:p>
    <w:p>
      <w:r>
        <w:t>Il faut donc procéder à une évaluation de l'invalidité, selon la méthode générale, par une comparaison de revenus indexés à 2009 et non à 2008.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une incapacité de travail de 70%, dans son ancienne activité depuis mars 2008, de sorte que le droit à la rente aurait pu naître au plus tôt une année après, soit en 2009.</w:t>
      </w:r>
    </w:p>
    <w:p>
      <w:r>
        <w:rPr>
          <w:b/>
        </w:rPr>
        <w:t>E. 12.3</w:t>
      </w:r>
    </w:p>
    <w:p>
      <w:r>
        <w:t>En l'espèce, sur la base des données de l'enquête suisse des salaires publiées par l'OFS pour 2008 (Tableau TA1, hommes, niveau de qualification 3), le salaire mensuel moyen d'un salarié dans le domaine de la construction avec des connaissances professionnelles spécialisées était de Fr. 5'602.--. Après adaptation au nombre d'heures effectuées en 2009 dans le secteur concerné, à savoir 41.6 heures (par rapport aux 40 heures de base, La Vie économique 5-2011, B 9.2), on obtient un revenu sans invalidité de Fr. 5'826.--. Ce salaire doit être indexé à 2009 (indexation de 2%, La Vie économique 5-2011, Tableau B 10.2), ainsi on obtient un revenu mensuel sans invalidité de Fr. 5'942.--.</w:t>
      </w:r>
    </w:p>
    <w:p>
      <w:r>
        <w:rPr>
          <w:b/>
        </w:rPr>
        <w:t>E. 12.4</w:t>
      </w:r>
    </w:p>
    <w:p>
      <w:r>
        <w:t>Le revenu d'invalide tiré des données statistiques, doit tenir compte d'un large éventail d'activités légères existant sur le marché du travail. Un nombre suffisant d'entre elles permettent d'alterner les positions, d'éviter le port de charges de plus de 5 kg, la station debout prolongée et la surcharge sur le membre inférieur droit. Ces activités sont donc adaptées au handicap du recourant. De plus, la majeure partie de ces postes ne nécessite pas de formation particulière autre qu'une mise à jour initiale. Les activités de substitution proposées par le service médical de l'OAIE sont des activités simples et répétitives que l'on trouve dans le secteur de la production (dont le revenu moyen en Suisse en 2008 pour les hommes, niveau de qualification 4 était de Fr. 5'137.--), dans les services collectifs et personnels (Fr. 4'291.--) et dans le commerce en général (Fr. 4'569.--) soit en moyenne Fr. 4'665.--. Ce montant doit ensuite être adapté à l'horaire usuel dans le secteur tertiaire et secondaire en 2009 soit une moyenne de 41.5 heures (par rapport aux 40 heures de base, la Vie économique 5-2011, B. 9.2) et indexé à 2009 (soit une moyenne générale de 2.1%, la Vie économique 5-2011, B. 10.2). On obtient ainsi un revenu mensuel, avec un abattement de 15 % pour tenir compte des circonstances personnelles et professionnelles de l'assuré, de Fr. 4'200.--</w:t>
      </w:r>
    </w:p>
    <w:p>
      <w:r>
        <w:rPr>
          <w:b/>
        </w:rPr>
        <w:t>E. 12.5</w:t>
      </w:r>
    </w:p>
    <w:p>
      <w:r>
        <w:t>En procédant à la comparaison des deux salaires, selon la formule [(5'942 - 4'200) x 100 : 5'942], l'on obtient une perte de gain de 29%, correspondant à une capacité de travail de 100% dans une activité de substitution, valeur qui n'ouvre pas de droit à une rente d'invalidité suisse.</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14</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15.1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15.2</w:t>
      </w:r>
    </w:p>
    <w:p>
      <w:r>
        <w:t>Il n'est pas alloué de dépens (art. 64 al. 1PA a contrario en relation avec les art. 7 ss FITAF).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