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C-3884/2015 vom 21. April 2016</w:t>
      </w:r>
    </w:p>
    <w:p>
      <w:r>
        <w:t>Bundesverwaltungsgericht, 2016-04-21, DE</w:t>
      </w:r>
    </w:p>
    <w:p>
      <w:r>
        <w:rPr>
          <w:b/>
        </w:rPr>
        <w:t xml:space="preserve">Quelle: </w:t>
      </w:r>
      <w:r>
        <w:t>https://mcp.opencaselaw.ch/entscheid/bvger_C-3884_2015</w:t>
      </w:r>
    </w:p>
    <w:p>
      <w:r>
        <w:t>FR: TAF C-3884/2015 du 21 avril 2016</w:t>
      </w:r>
    </w:p>
    <w:p>
      <w:r>
        <w:t>IT: TAF C-3884/2015 del 21 aprile 2016</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 Angefochten ist eine Verfügung der SAK im Sinne von Art. 5 VwVG.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Die nicht anwaltlich vertretene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Ein­spracheentscheid vom 15. Mai 2015),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w:t>
      </w:r>
    </w:p>
    <w:p>
      <w:r>
        <w:rPr>
          <w:b/>
        </w:rPr>
        <w:t>E. 2.6</w:t>
      </w:r>
    </w:p>
    <w:p>
      <w:r>
        <w:t>Die Beschwerdeführerin ist kroatische Staatsangehörige (SAK-act. 1) mit Wohnsitz in Kroatien, das seit dem 1. Juli 2013 Mitglied der EU ist. Mangels Unterzeichnung beziehungsweise Ratifizierung des Zusatzproto­kolls (Protokoll III) ist das Freizügigkeitsabkommen vom 21. Juni 1999 (FZA, SR 0.142.112.681) im Verhältnis zu Kroatien aber nicht anwendbar. Es ist daher weiterhin das Abkommen zwischen der Schweizerischen Eid­genossenschaft und der Republik Kroatien über Soziale Sicherheit vom 9. April 1996 (nachfolgend: Sozialversicherungsabkommen, SR 0.831.109.291.1) anzuwenden (zur Anwendbarkeit vgl. Art. 3 desselben). Nach Art. 4 Abs. 1 dieses Abkommens sind die Staatsangehörigen des einen Vertragsstaates in ihren Rechten und Pflichten aus den Rechtsvor­schriften des anderen Vertragsstaates, zu denen gemäss Art. 1 Abs. 1 Bst. a in Verbindung mit Art. 2 A Bst. i die Bundesgesetzgebung über die Alters- und Hinterlassenenversicherung gehört, den Staatsangehörigen dieses Vertragsstaates gleichgestellt; abweichende Bestimmungen in diesem Ab­kommen bleiben vorbehalten. Der Anspruch der Beschwerdeführerin auf Leistungen der Alters- und Hinterlassenenversicherung bestimmt sich demnach ausschliesslich nach dem innerstaatlichen Recht.</w:t>
      </w:r>
    </w:p>
    <w:p>
      <w:r>
        <w:rPr>
          <w:b/>
        </w:rPr>
        <w:t>E. 3</w:t>
      </w:r>
    </w:p>
    <w:p>
      <w:r>
        <w:t>Angefochten ist der abschlägige Ein­spracheentscheid vom 15. Mai 2015, mit welchem die Vorinstanz ihre Abweisungsverfügung vom 27. Februar 2015 über das "Gesuch" um Erlass der Rückerstattungsforderung vom 12. Februar 2015 be­stätigte.</w:t>
      </w:r>
    </w:p>
    <w:p>
      <w:r>
        <w:rPr>
          <w:b/>
        </w:rPr>
        <w:t>E. 3.1</w:t>
      </w:r>
    </w:p>
    <w:p>
      <w:r>
        <w:t>Grundsätzlich sind nach Art. 25 Abs. 1 ATSG unrechtmässig bezogene Leistungen zurückzuerstatten (Satz 1). Dies gilt jedoch nicht, wenn die Leistungen in gutem Glauben empfangen wurden und wenn eine grosse Härte vorliegt (Satz 2; vgl. auch Art. 4 Abs. 1 ATSV [830.11]).</w:t>
      </w:r>
    </w:p>
    <w:p>
      <w:r>
        <w:rPr>
          <w:b/>
        </w:rPr>
        <w:t>E. 3.2</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Rückverweisung oder durch analoge Anwendung in anderen Bereichen des Sozialversicherungs­rechts (BGE 130 V 318 E. 5.2).</w:t>
      </w:r>
    </w:p>
    <w:p>
      <w:r>
        <w:rPr>
          <w:b/>
        </w:rPr>
        <w:t>E. 3.3</w:t>
      </w:r>
    </w:p>
    <w:p>
      <w:r>
        <w:t>Eine aufgrund einer formell rechtskräftigen Verfügung ausgerichtete Leistung ist in der Sozialversicherung nur zurückzuerstatten, wenn ent­weder die für die Wiedererwägung oder die prozessuale Revision er­forderlichen Voraussetzungen erfüllt sind (BGE 126 V 23 E. 4b; RKUV 2003 KV 236 S. 23 E. 4.1). Diese Grundsätze finden auch dann Anwendung, wenn die zur Rück­forderung Anlass gebenden Leistungen formlos verfügt worden sind (BGE 126 V 399 E. 2b aa; RKUV 2003 KV 236 S. 23 E. 4.1; ARV 2002 S. 181 E. 1a).</w:t>
      </w:r>
    </w:p>
    <w:p>
      <w:r>
        <w:rPr>
          <w:b/>
        </w:rPr>
        <w:t>E. 3.4</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UELI KIESER, ATSG-Kommentar, 3. Aufl. 2015, Rz. 9 zu Art. 25). Die bezogene Leistung wird demnach nur zu einer unrechtmässig bezogenen Leistung, wenn die Korrektur durch eine Wiedererwägung bzw. eine Revision rückwirkend erfolgt (U. KIESER a.a.O., Rz. 14).</w:t>
      </w:r>
    </w:p>
    <w:p>
      <w:r>
        <w:rPr>
          <w:b/>
        </w:rPr>
        <w:t>E. 3.5</w:t>
      </w:r>
    </w:p>
    <w:p>
      <w:r>
        <w:t>Die Erlassfrage ist erst dann prüfen, wenn die Rechtsbeständigkeit der Rückerstattungsforderung feststeht (Urteil BGer 9C_466/2014 vom 2. Juli 2015 E. 3.1 mit Hinweis; vgl. auch Art. 4 Abs. 4 ATSV [SR 830.11]).</w:t>
      </w:r>
    </w:p>
    <w:p>
      <w:r>
        <w:rPr>
          <w:b/>
        </w:rPr>
        <w:t>E. 4</w:t>
      </w:r>
    </w:p>
    <w:p>
      <w:r>
        <w:t>Einleitend ist festzuhalten, dass die Vorinstanz die verfahrensrecht­lichen Schritte hinsichtlich der Rückforderung der ausge­richteten Witwenrente und des in einem gesonderten Verfahren zu prüfen­den Ge­suchs um Erlass der Rückerstattung (vgl. E. 3.4 f. m.w.H. zum mehrstufigen Verfahren) nicht rechts­genüglich eingehalten hat. Zunächst sind die hierfür massgebenden verfahrensrechtlichen Grundlagen sowie die Rechtsprechung darzulegen (E. 4.1).</w:t>
      </w:r>
    </w:p>
    <w:p>
      <w:r>
        <w:rPr>
          <w:b/>
        </w:rPr>
        <w:t>E. 4.1.1</w:t>
      </w:r>
    </w:p>
    <w:p>
      <w:r>
        <w:t>Gemäss Art. 29 BV (Allgemeine Verfahrensgarantien) hat jede Person in Verfahren vor Gerichts- und Verwaltungsinstanzen Anspruch auf gleiche und gerechte Behandlung sowie auf Beurteilung innert ange­messener Frist (Abs. 1). Die Parteien haben Anspruch auf rechtliches Ge­hör (Abs. 2). Jede Person, die nicht über die erforderlichen Mittel verfügt, hat Anspruch auf unentgeltliche Rechtspflege, wenn ihr Rechtsbegehren nicht aussichtslos erscheint. Soweit es zur Wahrung ihrer Rechte not­wendig ist, hat sie ausserdem Anspruch auf unentgeltlichen Rechtsbei­stand (Abs. 3). Die Parteien haben Anspruch auf rechtliches Gehör. Sie müssen nicht an­gehört werden vor Verfügungen, die durch Einsprache anfechtbar sind (Art. 42 ATSG).</w:t>
      </w:r>
    </w:p>
    <w:p>
      <w:r>
        <w:rPr>
          <w:b/>
        </w:rPr>
        <w:t>E. 4.1.2</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4.1.3</w:t>
      </w:r>
    </w:p>
    <w:p>
      <w:r>
        <w:t>Gemäss bundesgerichtlicher Rechtsprechung muss die Rechts­mittelbelehrung klar und ohne weiteres in ihrer Bedeutung erkennbar sein. Bezüglich der Rechtsmittelfrist gilt insbesondere, dass sie derart ausge­staltet sein muss, dass auch eine rechtsunkundige Person erkennen kann, innert welcher Frist ihr das Rechtsmittel zur Verfügung steht (BGE 111 V 149 E. 4b). Der rechtsuchenden Person darf aus einer unklaren oder widersprüch­lichen Rechtsmittelbelehrung kein Nachteil erwachsen. Dies gilt nicht nur im Falle unrichtiger oder missverständlicher Rechtsmittelbelehrung der Be­hörde, sondern auch dann, wenn die gesetzliche Ordnung selbst unklar oder zweideutig ist (BGE 117 Ia 119 E. 3).</w:t>
      </w:r>
    </w:p>
    <w:p>
      <w:r>
        <w:rPr>
          <w:b/>
        </w:rPr>
        <w:t>E. 4.2</w:t>
      </w:r>
    </w:p>
    <w:p>
      <w:r>
        <w:t>Mit Verfügung vom 17. Juli 2013 (SAK-act. 6) sprach die Vorinstanz der Beschwerdeführerin ab 1. Januar 2013 eine Witwenrente zu. Diese Rentenverfügung ist in Rechtskraft erwachsen. Mit Schreiben vom 27. Oktober 2014 (Eröffnungszeitpunkt unklar) stellte die Vorinstanz eine durch Einsprache anfechtbare Rückerstattungsver­fügung aufgrund der "Wiederheirat" der Beschwerdeführerin in Aussicht und ge­währte ihr innert 30 Tagen ab Erhalt des Schreibens das rechtliche Gehör (vgl. Sachverhalt, Bst. B.e). Mit Stellungnahme vom 25. November 2014 (Posteingang SAK: 2. Dezember 2014) bestritt die Leistungsbe­zügerin die Rechtmässig­keit der Rückforderung, da ihrer Ansicht nach die SAK von einem un­richtigen Sachverhalt ausgegangen sei. Sie beantragte die "Aussetzung [Sistierung] der Rückerstattungs­verfügung" sowie die weitere Ausrichtung der Waisenrente für ihre minderjährige Tochter (SAK-act. 23; Übersetzung: SAK-act. 36). Am 27. November 2014 erliess die Vorinstanz eine Ver­fügung, in der sie die Rückerstattungsforderung von Fr. 21'340.- um den Betrag der Waisenrente auf Fr. 14'234.- reduzierte. Obwohl in der "Beilage" der Rückerstattungsverfügung eine Rechtsmittel­belehrung erwähnt wurde, ist diese nicht aktenkundig. Die am 2. Dezember 2014 bei der Vorinstanz eingegangene Stellung­nahme der Beschwerde­führerin wartete die Vorinstanz nicht ab, weshalb das vorgängig ge­währte rechtliche Gehör der Be­schwerde­führerin in dieser Ver­fügung nicht berück­sichtigt wurde (mit Ausnahme der Reduktion der Rücker­stattungsforderung um den Betrag der ausgerichteten Halbwaisenrente; vgl. Sachverhalt, Bst. Bf, C.a). Gegen die Rückerstattungsverfügung vom 27. November 2014 erhob die Be­schwerdeführerin am 27. Dezember 2014 Einsprache. Sie rügte sinnge­mäss die unrichtige Sachverhaltsfeststellung durch die Vorinstanz und be­antragte, dass von einer Rückforderung der (irrtümlich) ausgerichteten Witwenrente abzu­sehen sei, zumal der Fehler bei der Vorinstanz und nicht bei ihr liege (Posteingang SAK: 5. Januar 2015; vgl. SAK-act. 25).</w:t>
      </w:r>
    </w:p>
    <w:p>
      <w:r>
        <w:rPr>
          <w:b/>
        </w:rPr>
        <w:t>E. 4.3</w:t>
      </w:r>
    </w:p>
    <w:p>
      <w:r>
        <w:t>Gemäss Art. 49 ATSG hat der Versicherungsträger über Leistungen, Forderungen und Anordnungen, die erheblich sind oder mit denen die be­troffene Person nicht einverstanden ist, schriftlich Verfügungen zu erlassen (Abs. 1). Die Verfügungen werden mit einer Rechtsmittelbelehrung ver­sehen. Sie sind zu begründen, wenn sie den Begehren der Parteien nicht voll entsprechen. Aus einer mangelhaften Eröffnung einer Verfügung darf der betroffenen Person kein Nachteil erwachsen (Abs. 2). Artikel 52 ATSG besagt, dass gegen Verfügungen innerhalb von 30 Tagen bei der verfügenden Stelle Einsprache erhoben werden kann; davon aus­genommen sind prozess- und verfahrensleitende Verfügungen (Abs. 1). Die Einspracheentscheide sind innert angemessener Frist zu er­lassen. Sie werden begründet und mit einer Rechtsmittelbelehrung ver­sehen (Abs. 2).</w:t>
      </w:r>
    </w:p>
    <w:p>
      <w:r>
        <w:rPr>
          <w:b/>
        </w:rPr>
        <w:t>E. 4.4</w:t>
      </w:r>
    </w:p>
    <w:p>
      <w:r>
        <w:t>Die Beschwerdeführerin hat mehrfach kundgetan, dass sie mit der Rückforderung der ihr zugesprochenen Witwenrente nicht einverstanden ist, da der Fehler für die zu Unrecht ausgerichteten Versicherungs­leistungen nicht bei ihr, sondern bei der Vorinstanz liege (vgl. E. 4.2 zu Art. 49 Abs. 1 ATSG). Diese Sichtweise kann - am Rande erwähnt - ver­treten werden, da es die Auf­gabe und Pflicht der verfügenden Be­hörde ist, das Rentenbegehren be­ziehungsweise einen allfälligen sozial­ver­sicherungs­rechtlichen Anspruch der Beschwerde­führerin (und ihrer Tochter) unter Beachtung der hierfür vorgesehenen ge­setzlichen Be­stimmungen von Amtes wegen abzuklären, die notwendigen Auskünfte einzuholen und alle Unterlagen, die für das Sozialver­sicherungsverfahren massgeblich sein können, syste­matisch zu erfassen (vgl. Art. 43 Abs. 1 und Art. 46 ATSG). Folglich kann auch keine Überprüfungspflicht des zu­gesprochenen Rentenanspruchs durch die Versicherte abgeleitet werden. Da es sich bei der Rückerstattungsverfügung nicht um eine prozess- und verfahrensleitende Verfügung handelt, durfte die Be­schwerde­führerin innert 30 Tagen gegen die erhebliche Forderung der Vorinstanz am 27. Dezember 2014 Ein­sprache (SAK-act. 25/1 ff.) erheben.</w:t>
      </w:r>
    </w:p>
    <w:p>
      <w:r>
        <w:rPr>
          <w:b/>
        </w:rPr>
        <w:t>E. 4.5</w:t>
      </w:r>
    </w:p>
    <w:p>
      <w:r>
        <w:t>Anstatt einen begründeten Einspracheentscheid mit einer Rechts­mittelbelehrung innert angemessener Frist zu er­lassen, nahm die Vorinstanz die Einsprache der Be­schwerdeführerin (eine Übersetzung in eine Amtssprache ist nicht akten­kundig) als "Gesuch" um Erlass der Rück­erstattung ent­gegen (vgl. Sach­verhalt, Bst. C.b, C.c, D.a). Dies hat zur Folge, dass das Einsprachever­fahren über die Rückerstattung der zu Un­recht ausgerichteten Ver­sicherungsleistungen nicht rechtsgenüglich abge­schlossen wurde. Abgesehen davon hat die Beschwerdeführerin gemäss Art. 29 Abs. 2 BV in Verbindung mit Art. 42 ATSG das Recht, sich vor Erlass des Entscheids zur Sache zu äussern (BGE 132 V 368 E. 3.1). Der Ge­hörsanspruch verpflichtet die Behörde, die Vorbringen der betroffenen Per­son auch tatsächlich zu hören, zu prüfen und in der Entscheidfindung zu berücksichtigen, weshalb sie ihren Entscheid zu begründen hat (BGE 134 I 83 E. 4.1). Da die Vorbringen der Beschwerdeführerin im Rahmen des rechtlichen Gehörs im Rückerstattungsverfahren nicht be­rücksichtigt worden sind (vgl. Sachverhalt, Bst. B.f, C.b), hat die Vorinstanz offensichtlich auch das rechtliche Gehör der Beschwerdeführerin verletzt. Es mangelt an einem Einspracheentscheid über die Rechtmässigkeit der Rückforderung und somit an einem Anfechtungsobjekt, das mit Be­schwerde vor Bundesverwaltungsgericht angefochten werden kann. Der Entscheid über die Rück­erstattung ist damit nicht in Rechtskraft er­wachsen. Zudem ist die Erlassfrage erst dann zu prüfen, wenn die Rechts­be­ständigkeit der Rückerstattungsforderung feststeht (vgl. E. 3.5 mit Hin­weis auf Urteil BGer 9C_466/2014 vom 2. Juli 2015 E. 3.1). Die Vorinstanz war somit nicht berechtigt, das Schreiben vom 27. Dezember 2014 ledig­lich als "Erlassgesuch" zu behandeln, da die Beschwerdeführerin bereits mit Ein­gabe vom 25. November 2014 die Rechtmässigkeit der Rück­forderung be­stritten hatte und dies am 27. Dezember 2014 erneut tat. Demnach bildet nach wie vor die Rückerstattungs­forderung von Fr. 14'234.- und nicht der Erlass der­selben den Streitgegen­stand (vgl. Sachverhalt, Bst. E.a), zumal der Be­schwerdeführerin andernfalls die Überprüfung der Rechtmässigkeit der Rückerstattung verlustig ginge (vgl. zum Ganzen: Urteile des BVGer C-1398/2010 vom 16. Januar 2012 und C-4587/2008 vom 26. Mai 2010). Im Übrigen ist der Anspruch auf Halb­waisenrente für das minderjährige Kind unbestritten und daher nicht Streit­gegenstand.</w:t>
      </w:r>
    </w:p>
    <w:p>
      <w:r>
        <w:rPr>
          <w:b/>
        </w:rPr>
        <w:t>E. 4.6</w:t>
      </w:r>
    </w:p>
    <w:p>
      <w:r>
        <w:t>Zusammenfassend ist festzuhalten, dass die Vorinstanz die geltenden Verfahrensbestimmungen nicht eingehalten hat und damit die ver­fassungs­rechtlich garantierten Verfahrensgarantien der Be­schwerde­führerin nach Art. 29 Abs. 2 BV in Verbindung mit Art. 42 ATSG verletzt hat. Insbe­sondere hat sie die Erlassfrage geprüft, obwohl die Beschwerdeführerin die Rechtmässigkeit der Rückforderung mit zwei Eingaben an die Vorinstanz bestritt und gemäss bundesgerichtlicher Rechtsprechung die Rechtsbe­ständigkeit der Rückerstattungsforderung verlangt wird (vgl. E. 3.5). Nach Abwägung des vorher Gesagten und aufgrund der Schwere der Verletzung ist eine Heilung und Beurteilung im Sinne der Prozessökonomie (vgl. BGE 131 V 164 E. 2.1, BGE 125 V 413 E. 1 und E. 2a, BGE 122 V 34 E. 2a und BGE 110 V 48 E. 3b, je mit Hinweisen) ausgeschlossen, weshalb die vor­liegende Sache an die Vorinstanz zurück­zuweisen ist. Diese hat sich zu­nächst im Rahmen des Einsprache­verfahrens über die Rechtmässigkeit der Rückerstattungsverfügung zu äussern. Soweit in der Rückweisung an die Vorinstanz ein formalistischer Leerlauf gesehen wird, ist zu sagen, dass gemäss bundesgerichtlicher Rechtsprechung Rechtssuchende nicht die Wahl zwischen verschiedenen Ver­fahren haben, um ihre Ansprüche geltend zu machen und durchzusetzen. Viel­mehr muss jener Rechtsweg be­schritten werden, den das Gesetz vor­schreibt (vgl. SVR 2005 AHV Nr. 9; Urteil des EVG H 53/04 vom 25. November 2004 E. 1.3.2). Erst wenn das Einspracheverfahren abge­schlossen und die Rückerstattungs­ver­fügung unangefochten in Rechts­kraft erwachsen ist (d.h., wenn gegen den noch fehlenden Einspracheent­scheid über die Rechtmässigkeit der Rück­forderung keine Beschwerde vor Bundesverwaltungsgericht erhoben wurde), ist in einem zweiten Schritt über das Gesuch um Erlass der Rück­erstattung unter Be­rück­sichti­gung des betreibungsrechtlichen Existenz­minimums (vgl. dazu Urteil BVGer C-1820/2008 vom 13. November 2009 E. 6) so­wie unter den Aspekten des Empfangs in gutem Glauben und dem Vorliegen einer grossen wirtschaft­lichen Härte zu prüfen und an­schliessend zu verfügen. Hinsichtlich des von der Vorinstanz zu prüfenden betreibungsrechtlichen Existenzminimums und der grossen Härte ist der Beschwerdeführerin das entsprechende Formular vorgängig zuzusenden.</w:t>
      </w:r>
    </w:p>
    <w:p>
      <w:r>
        <w:rPr>
          <w:b/>
        </w:rPr>
        <w:t>E. 5</w:t>
      </w:r>
    </w:p>
    <w:p>
      <w:r>
        <w:t>Im Ergebnis ist die Beschwerde insoweit gutzuheissen, als der ange­fochtene Einspracheentscheid vom 15. Mai 2015 aufzuheben und die Sache an die Vorinstanz zum Erlass eines Einspracheentscheides im Rücker­stattungsverfahren zurückzuweisen ist.</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der teilweise obsiegenden Beschwerdeführerin, welche nicht berufs­mässig ver­treten war, keine verhältnismässig hohen Kosten entstanden sind und diese zu Recht auch keinen entsprechenden Antrag gestellt hat, ist ihr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