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C-3884/2011 vom 17. September 2012</w:t>
      </w:r>
    </w:p>
    <w:p>
      <w:r>
        <w:t>Bundesverwaltungsgericht, 2012-09-17, FR</w:t>
      </w:r>
    </w:p>
    <w:p>
      <w:r>
        <w:rPr>
          <w:b/>
        </w:rPr>
        <w:t xml:space="preserve">Quelle: </w:t>
      </w:r>
      <w:r>
        <w:t>https://mcp.opencaselaw.ch/entscheid/bvger_C-3884_2011</w:t>
      </w:r>
    </w:p>
    <w:p>
      <w:r>
        <w:t>FR: TAF C-3884/2011 du 17 septembre 2012</w:t>
      </w:r>
    </w:p>
    <w:p>
      <w:r>
        <w:t>IT: TAF C-3884/2011 del 17 settembre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30 septembre 2010. Ne sont en revanche pas applicables les dispositions de la 6e révision de la LAI (premier volet) en vigueur dès le 1er janvier 2012 (RO 2011 5659, FF 2010 1647).</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recourante a versé des cotisations à l'AVS/AI pendant plus de 3 ans (cf. supra let. A)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5.2</w:t>
      </w:r>
    </w:p>
    <w:p>
      <w:r>
        <w:t>Il faut toutefois préciser que lorsque l'assuré exerce une activité lucrative à temps partiel - comme dans le cas d'espèce,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d'après l'incapacité dont la personne est affectée dans les deux domaines d'activité (art. 28a al. 3 LAI; méthode mixte).</w:t>
      </w:r>
    </w:p>
    <w:p>
      <w:r>
        <w:rPr>
          <w:b/>
        </w:rPr>
        <w:t>E. 5.3</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5.4</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5.5</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se limiter à examiner si la recourante remplissait les conditions d'octroi d'une rente depuis le 30 mars 2010 (six mois après le dépôt de la demande) jusqu'au 8 juin 2011, date de la décision attaquée marquant la limite dans le temps du pouvoir d'examen de l'autorité de recours (ATF 129 V 1 consid. 2.1 avec les réf).</w:t>
      </w:r>
    </w:p>
    <w:p>
      <w:r>
        <w:rPr>
          <w:b/>
        </w:rPr>
        <w:t>E. 6.1</w:t>
      </w:r>
    </w:p>
    <w:p>
      <w:r>
        <w:t>La recourante a travaillé en Suisse comme salariée de 1973 à 1987. Retournée en Espagne, elle devient tenancière indépendante d'un snack bar avec son mari du 1er novembre 2006 au 30 juin 2008. Suite à cela, la recourante reprend une activité d'aide en gériatrie à temps partiel (15 heures par semaines) pour une durée déterminée du 2 mars 2009 au 16 juin 2009 (cf. supra let. A).</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le tableau clinique est clair. Les différents médecins s'accordent pour reconnaître à la recourante un trouble anxieux dépressif, soigné par antidépresseurs (20mgr de X._______ par jour). En outre, il est également établi que l'intéressée a subi en 2009 une hystéroscopie et polipectomie, ainsi qu'une cure hémodynamique de ses varices à la jambe gauche (OAIE pces 21 à 31, 33, 35 et 36). S'agissant de l'influence des affections de la recourante sur sa capacité de travail, il ressort du formulaire E 213 du 25 octobre 2010 que l'assurée souffre d'un syndrome dépressif réactionnel à des problèmes de vie et d'une trouble adaptatif fluctuant, mais présente pour le surplus un bon état général. Le médecin estime dès lors que l'intéressée reste apte à travailler à temps plein dans tout type d'activités ne nécessitant pas de travailler la nuit et n'induisant pas de contrainte de temps. Par ailleurs, il mentionne que l'état de santé de la recourante pourrait s'améliorer par la mise en place d'un soutien psychologique (OAIE pce 36).</w:t>
      </w:r>
    </w:p>
    <w:p>
      <w:r>
        <w:rPr>
          <w:b/>
        </w:rPr>
        <w:t>E. 8.2</w:t>
      </w:r>
    </w:p>
    <w:p>
      <w:r>
        <w:t>Quant à la recourante, elle conteste être apte à travailler (OAIE pce 42). Il ressort du questionnaire pour les assurés travaillant dans le ménage que celle-ci ne peut effectuer certaines tâches, tel que laver les vitres, faire les courses, l'entretien du linge et bénéficie de l'aide de proches à hauteur de 20h par semaine (OAIE pce 9). Toutefois, l'intéressée ne produit à l'appui de ses allégations aucun rapport médical allant à l'encontre des conclusions du rapport E 213 et permettant de douter qu'elle puisse travailler ou effectuer ses tâches ménagères. En effet, ses médecins traitants ne prennent à aucun moment position sur sa capacité de travail (OAIE pces 21 à 29), à l'exception de la Dresse C._______ dans une rapport médical du 26 juin 2009 (OAIE pce 31) qui indique de manière assez vague que le trouble dépressif de l'assurée pourrait entrer en conflit avec son travail. L'intéressée souligne encore qu'il ressort du rapport médical de la Dresse C._______ du 4 janvier 2011 qu'elle se remet d'une fracture du bras et de la jambe gauche, entraînant des douleurs et une impotence fonctionnelle (OAIE pces 38 et 42; TAF pces 1 et 6). Finalement, la recourante argue dans son mémoire de réplique que l'autorité inférieure a retenu à tort qu'elle est apte à exercer son activité habituelle, eu égard aux limitations fonctionnelles citées dans le formulaire E 213 qui ne lui permettent pas de travailler de nuit ou dans un travail avec des contraintes de temps (TAF pce 6).</w:t>
      </w:r>
    </w:p>
    <w:p>
      <w:r>
        <w:rPr>
          <w:b/>
        </w:rPr>
        <w:t>E. 8.3</w:t>
      </w:r>
    </w:p>
    <w:p>
      <w:r>
        <w:t>Quant à l'autorité inférieure, se basant sur les conclusions du formulaire E 213, elle retient que A._______ ne subit pas d'incapacité de travail significative en raison de ses varices, de ses métrorragies ou de son trouble dépressif fluctuant, notamment eu égard au dosage léger de ses antidépresseurs; son service médical estime pour le surplus que le questionnaire pour assuré travaillant dans le ménage rempli par l'assuré comporte des limitations subjectives non corroborée par l'examen clinique (OAIE pce 40).</w:t>
      </w:r>
    </w:p>
    <w:p>
      <w:r>
        <w:rPr>
          <w:b/>
        </w:rPr>
        <w:t>E. 9.1</w:t>
      </w:r>
    </w:p>
    <w:p>
      <w:r>
        <w:t>Premièrement, le Tribunal remarque que le service médical de l'OAIE se fonde sur un rapport E 213 du 25 octobre 2010 établi par le Dr F._______, après un examen personnel de l'assurée, remplissant les conditions jurisprudentielles relatives à la valeur probante de documents médicaux et permettant ainsi de prononcer un jugement sur le droit litigieux; en effet, celui-ci est complet, circonstancié et aboutit à des conclusions claires et univoques. Certes, le médecin signale qu'un travail de nuit ou lié à des contraintes de temps ne peut pas être exigé de la recourante, toutefois le praticien déclare celle-ci apte à travailler dans tout type d'activité malgré un trouble dépressif fluctuant qui n'est à aucun moment qualifié de suffisamment grave pour être invalidant. Or, eu égard à la valeur probante de ce formulaire - base de la décision de l'OAIE - et eu égard au fait qu'aucun document médical au dossier ne permet de corroborer les déclarations de l'assurée concernant la conduite de son ménage ni ses allégations tendant à ce que lui soit reconnu une incapacité entière de travail, force est au Tribunal de se rallier à l'avis de l'autorité inférieure.</w:t>
      </w:r>
    </w:p>
    <w:p>
      <w:r>
        <w:rPr>
          <w:b/>
        </w:rPr>
        <w:t>E. 9.2</w:t>
      </w:r>
    </w:p>
    <w:p>
      <w:r>
        <w:t>En effet, le Tribunal souligne que le rapport médical de la Dresse C._______ du 26 juin 2009 (OAIE pce 31) ne comporte qu'une suite de diagnostics, sans prise de position claire concernant la capacité de travail de la recourante, qui ne saurait correspondre aux exigences jurisprudentielles en la matière pour se voir octroyer pleine valeur probante (cf. supra consid. 7.2). De plus, dans un autre certificat médical du 4 mars 2010, la même praticienne indique que le traitement médical de l'assuré présente des effets favorables (OAIE pce 33), ce qui tend à conforter les conclusions du formulaire E 213 considérant le trouble dépressif de la recourante comme non invalidant.</w:t>
      </w:r>
    </w:p>
    <w:p>
      <w:r>
        <w:rPr>
          <w:b/>
        </w:rPr>
        <w:t>E. 9.3</w:t>
      </w:r>
    </w:p>
    <w:p>
      <w:r>
        <w:t>Concernant le certificat médical du 4 janvier 2011, indiquant que l'assurée a subit une fracture d'un bras et d'une jambe, le Tribunal remarque que ce problème de santé n'est pas documenté par des examens médicaux; il n'est en outre pas établi depuis quand il existe et s'il affecte la capacité de travail de l'assurée; la Dresse C._______ ne se prononce en effet pas à ce sujet, se contentant de signaler que l'assurée se remet de ces deux fractures. Partant, on ne saurait accorder valeur probante à ce rapport médical selon la jurisprudence constante du Tribunal fédéral (cf. supra consid. 7.2) et il ne sera pas retenu par le Tribunal.</w:t>
      </w:r>
    </w:p>
    <w:p>
      <w:r>
        <w:rPr>
          <w:b/>
        </w:rPr>
        <w:t>E. 9.4</w:t>
      </w:r>
    </w:p>
    <w:p>
      <w:r>
        <w:t>Quant aux autres certificats médicaux produits par la recourante, ils décrivent en termes plutôt succincts les pathologies de l'assurée, sans procéder à des examens objectifs complets et sans prendre position sur sa capacité de travail. En outre, il y a lieu de tenir compte qu'il proviennent de médecins traitant. Or,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 De plus,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w:t>
      </w:r>
    </w:p>
    <w:p>
      <w:r>
        <w:rPr>
          <w:b/>
        </w:rPr>
        <w:t>E. 9.5</w:t>
      </w:r>
    </w:p>
    <w:p>
      <w:r>
        <w:t>Pour finir, selon le Dr F._______, l'état de santé de l'assurée devrait s'améliorer par la mise en place d'un suivi psychologique (formulaire E 213 du 25 octobre 2010; OAIE pce 36). Or, le Tribunal de céans rappelle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9.6</w:t>
      </w:r>
    </w:p>
    <w:p>
      <w:r>
        <w:t>Aussi, dans la mesure où les pièces versées au dossier, ne sont pas de nature à infirmer ou modifier les conclusions du rapport E 213, le Tribunal de céans est en droit de retenir que l'intéressée est apte à travailler à temps plein dans son activité habituelle ou dans toute autre activité professionnelle ne nécessitant pas de travailler la nuit ou induisant des contraintes de temps.</w:t>
      </w:r>
    </w:p>
    <w:p>
      <w:r>
        <w:rPr>
          <w:b/>
        </w:rPr>
        <w:t>E. 10</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11</w:t>
      </w:r>
    </w:p>
    <w:p>
      <w:r>
        <w:t>Les frais de procédure, fixés à Fr. 400.--, sont mis à la charge de la recourante (art. 63 al. 1 PA, applicable par le truchement de l'art. 37 LTAF).Vu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