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C-3884/2008 vom 12. November 2009</w:t>
      </w:r>
    </w:p>
    <w:p>
      <w:r>
        <w:t>Bundesverwaltungsgericht, 2009-11-12, IT</w:t>
      </w:r>
    </w:p>
    <w:p>
      <w:r>
        <w:rPr>
          <w:b/>
        </w:rPr>
        <w:t xml:space="preserve">Quelle: </w:t>
      </w:r>
      <w:r>
        <w:t>https://mcp.opencaselaw.ch/entscheid/bvger_C-3884_2008</w:t>
      </w:r>
    </w:p>
    <w:p>
      <w:r>
        <w:t>FR: TAF C-3884/2008 du 12 novembre 2009</w:t>
      </w:r>
    </w:p>
    <w:p>
      <w:r>
        <w:t>IT: TAF C-3884/2008 del 12 novembre 2009</w:t>
      </w:r>
    </w:p>
    <w:p>
      <w:pPr>
        <w:pStyle w:val="Heading2"/>
      </w:pPr>
      <w:r>
        <w:t>Regeste</w:t>
      </w:r>
    </w:p>
    <w:p>
      <w:r>
        <w:t>Valutazione dell'invalidità</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nella misura di Fr. 500.-, entro il termine impartito.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Qualora una prima richiesta di rendita sia stata negata (oppure una prestazione sia stata soppressa)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 In concreto, l'UAIE ha soppresso la mezza rendita d'invalidità con decisione su opposizione del 1° febbraio 2006. Il 1° febbraio 2007 l'interessato ha presentato una nuova domanda di rendita che è stata parzialmente accolta, nel senso che con decisione dell'8 maggio 2008 l'UAIE gli ha riconosciuto un diritto al quarto di rendita con effetto dal 1° luglio 2006. Ne consegue che il periodo di riferimento per giudicare se è intervenuta una modifica rilevante del grado d'invalidità, può essere limitato dal 1° luglio 2006 all'8 maggio 2008.</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durante almeno un anno, rispettivamente, a partire dal 1° gennaio 2008, durante almeno tre anni (art. 36 LAI).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Dopo il riconoscimento del diritto alla mezza rendita AI, l'interessato ha ancora lavorato. Assunto nel luglio 1996 da un'impresa di costruzioni della sua regione, in ragione di 40 ore settimanali e per un salario adeguato alla sua qualifica di muratore specializzato (cfr. doc. 43, 60 e 115). In questi ultimi anni però l'interessato ha fatto registrare assenze dal lavoro per malattia, ossia dal 28 novembre 2005 al 3 marzo 2006 e dal 19 dicembre 2006 al 5 aprile 2007, data del licenziamento.</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è stata evidenziata la diagnosi di "limitazioni funzionali di discreta-notevole entità alla spalla destra in artrosi con calcificazioni/ossificazioni peri-articolari ed esiti di acromioplastica (1998) per lesione del tendine sovraspinato in infortunio sul lavoro, lombalgie recidivanti in discopatia/discoartrosi lombare in canale lombare stretto ed esiti di intervento per ernia discale L4-L5, esiti di meniscectomia ginocchio sinistro per frattura corno posteriore menisco mediale" (perizia E 213 del 19 febbraio 2007, doc. 151).</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 Va però aggiunto, che giusta l'art. 29bis OAI, se la rendita è stata soppressa a causa dell'abbassamento del grado d'invalidità e che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 29 cpv. 1 LAI.</w:t>
      </w:r>
    </w:p>
    <w:p>
      <w:r>
        <w:rPr>
          <w:b/>
        </w:rPr>
        <w:t>E. 10.1</w:t>
      </w:r>
    </w:p>
    <w:p>
      <w:r>
        <w:t>Per quanto concerne le conseguenze invalidanti delle menzionate affezioni, il medico dell'INPS pone un tasso d'invalidità del 70% pur precisando che l'assicurato è in grado di svolgere un lavoro leggero (cifra 9 e 11.5), non in ambienti umidi e/o freddi e non comportanti frequenti flessioni del tronco, trasporto di pesi, salite di piani inclinati, ecc (cifra 10.1). Inoltre, l'ideale sarebbe un lavoro con la possibilità di alternare la stazione eretta con la possibilità di deambulare e la posizione seduta (cifra 10.2). Dal canto suo, il Dott. Rais dell'UAIE (doc. 153) indica che l'assicurato non è più in grado di svolgere il precedente lavoro di muratore specializzato. Va ricordato che due anni dopo l'assunzione, quindi circa a partire dal luglio 1998, il nominato lavorava nel settore manutenzione interna agli stabili a tempo pieno (doc. 115). Il medico dell'UAIE afferma tuttavia che il nominato potrebbe riprendere un'attività leggera alle stesse condizioni indicate dal medico dell'INPS ma solo all'80%.</w:t>
      </w:r>
    </w:p>
    <w:p>
      <w:r>
        <w:rPr>
          <w:b/>
        </w:rPr>
        <w:t>E. 10.2</w:t>
      </w:r>
    </w:p>
    <w:p>
      <w:r>
        <w:t>Il collegio giudicante osserva che il parere dei due medici indicati non è sufficientemente suffragato da documentazione medica oggettiva. La maggior parte dei documenti prodotti con la nuova domanda, inseriti nell'incarto dopo i formulari di richiesta e quelli di carattere economico-lavorativo (doc. 103 a 115), riguardano, fino al documento 144, problemi anteriori al 1° febbraio 2006, data della decisione su opposizione che sopprimeva il diritto alla rendita. Tali documenti non sono quindi determinanti per la soluzione del caso. Resta un breve rapporto di esame ortopedico (Dott. Maspero, doc. 145) del tutto privo di accompagnamento oggettivo, ossia radiografie, RM od altro. Altri documenti riguardano invece problemi gatrointestinali poco rilevanti nella loro influenza debilitante (vedi p. es. doc. 149). I pareri che hanno portato l'UAIE a riconoscere un quarto di rendita da luglio 2006 non sono pertanto attendibili, nella misura in cui non poggiano su documentazione oggettiva. Viste le patologie lamentate nel passato dall'assicurato, un esame completo in modo particolare ortopedico/neurologico è necessario. Questo esame deve contenere un'adeguata anamnesi, ossia uno studio dell'incarto sulla storia clinica, un rapporto oggettivo dapprima eseguito sulle risultanze dei reperti strumentali (radiografie, RM, TAC, sonografie), poi sull'esame clinico dell'apparato locomotorio (colonna vertebrale in toto, arti superiori ed inferiori) ed elencare in modo preciso tutte le eventuali limitazioni funzionali. Parimenti, un'esame neurologico s'impone alla luce delle particolari affezioni presenti nel passato, alfine di escludere qualsiasi contro-indicazione lavorativa eventualmente dovuta ad una diminuzione della forza e del tono muscolare da imputare all'ernia discale recidivante e alle parestesie sicuramente presenti agli arti superiori in esito agli interventi di acromioplastica (1998), riacutizzatesi, sembra, dopo il 2005. Ora, fatte queste considerazioni, il collegio giudicante si trova nell'impossibilità di determinare la misura dell'eventuale incapacità di lavoro e di guadagno subita dall'interessato e da quando questa invalidità esisterebbe.</w:t>
      </w:r>
    </w:p>
    <w:p>
      <w:r>
        <w:rPr>
          <w:b/>
        </w:rPr>
        <w:t>E. 11.1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a partire dal febbraio 2006. L'UAIE emanerà poi un nuovo provvedimento impugnabile. A tale fine il ricorrente dovrà essere sottoposto ad una perizia approfondita in ortopedia e neurologia ed a una nuova perizia medica particolareggiata (E 213). L'incarto sarà poi inviato in esame al servizio medico dell'UAIE il quale si pronuncerà in merito all'evoluzione dell'incapacità al lavoro dal febbraio 2006, nonché in merito all'attività professionale che il ricorrente avrebbe potuto espletare dopo quella data. Se del caso, l'Autorità amministrativa effettuerà poi un'adeguata e circostanziata indagine comparativa dei redditi.</w:t>
      </w:r>
    </w:p>
    <w:p>
      <w:r>
        <w:rPr>
          <w:b/>
        </w:rPr>
        <w:t>E. 12</w:t>
      </w:r>
    </w:p>
    <w:p>
      <w:r>
        <w:t>La parte ricorrente chiede inoltre un dibattimento pubblico, prima che la decisione sia emanata. In applicazione della giurisprudenza del Tribunale federale, questa richiesta deve essere respinta in quanto lo scrivente tribunale è del parere che è necessario acquisire agli atti una nuova perizia medica prima di procedere alla valutazione del caso (sentenza 8C_588/2007 del Tribunale federale del 27 agosto 2008, consid. 4.3 con i rif.).</w:t>
      </w:r>
    </w:p>
    <w:p>
      <w:r>
        <w:rPr>
          <w:b/>
        </w:rPr>
        <w:t>E. 13.1</w:t>
      </w:r>
    </w:p>
    <w:p>
      <w:r>
        <w:t>Visto l'esito del ricorso, non vengono prelevate spese processuali. L'anticipo di Fr. 500.- corrispondente alle presunte spese processuali, versato dall'insorgente il 7 gennaio 2009, gli viene restituito.</w:t>
      </w:r>
    </w:p>
    <w:p>
      <w:r>
        <w:rPr>
          <w:b/>
        </w:rPr>
        <w:t>E. 13.2</w:t>
      </w:r>
    </w:p>
    <w:p>
      <w:r>
        <w:t>In base all'art. 64 PA, l'autorità di ricorso, se ammette il ricorso in tutto o in parte, può assegnare al ricorrente un'indennità per le spese indispensabili e relativamente elevate che ha sopportato. Nel caso in esame, vista la memoria di ricorso e di replica, si giustifica riconoscere alla parte ricorrente un'indennità per spese ripetibili di Fr. 1'200.-,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