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C-3869/2013 vom 12. Januar 2015</w:t>
      </w:r>
    </w:p>
    <w:p>
      <w:r>
        <w:t>Bundesverwaltungsgericht, 2015-01-12, FR</w:t>
      </w:r>
    </w:p>
    <w:p>
      <w:r>
        <w:rPr>
          <w:b/>
        </w:rPr>
        <w:t xml:space="preserve">Quelle: </w:t>
      </w:r>
      <w:r>
        <w:t>https://mcp.opencaselaw.ch/entscheid/bvger_C-3869_2013</w:t>
      </w:r>
    </w:p>
    <w:p>
      <w:r>
        <w:t>FR: TAF C-3869/2013 du 12 janvier 2015</w:t>
      </w:r>
    </w:p>
    <w:p>
      <w:r>
        <w:t>IT: TAF C-3869/2013 del 12 gennaio 2015</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voir également sur cette question et en rapport avec la disposition de l'art. 27 LEtr applicable à la présente cause, l'arrêt du TF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2013, ch. 3.197). Aussi peut-elle admettre ou rejeter le pourvoi pour d'autres motifs que ceux invoqués. Dans son arrêt, elle prend en considération l'état de fait régnant au moment où elle statue (cf. ATAF 2014/1 consid. 2 et jurisprudence citée).</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au SEM pour qu'il vérifie si les conditions prévues par le droit fédéral sont remplies (cf. art. 85 al. 1 let. a et b et al. 3 OASA). 4.2 En l'espèce, la compétence décisionnelle appartient à la Confédération en vertu des règles de procédure précitées (cf. également ch. 1.3.1.1 et 1.3.1.4. let. c des Directives et commentaires du SEM, en ligne sur son site internet : https://www.bfm.admin.ch/Publication &amp; service/Directives et circulaires/I. Domaine des étrangers, version d'octobre 2013 actualisée le 4 juillet 2014; consulté en décembre 2014). Il s'ensuit que ni le Tribunal, ni le SEM ne sont liés par la proposition du SPOP du 27 novembre 2012, réitérée en date du 3 juin 2013,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Dans le cas d'espèce, c'est à juste titre que le SEM ne conteste pas que A._______ remplit les conditions énoncées à l'art. 27 al. 1 let. a à c LEtr. En effet, l'examen du dossier conduit le Tribunal de céans à constater que le prénommé est régulièrement inscrit à l'Université de Lausanne. Preuve en est l'attestation de l'Université de Lausanne, datée du 6 août 2014, versée au dossier par le recourant, et selon laquelle la demande de transfert dès le semestre d'automne 14/15 a été agréée. 6.2 Par ailleurs, aucun élément du dossier ne permet de soupçonner que l'intéressé, séjournant en Suisse depuis plus de trois ans, ne disposerait pas d'un logement approprié et de moyens financiers suffisants. 6.3 L'autorité de première instance considère cependant que l'intéressé ne dispose pas du niveau de formation et des qualifications personnelles requis pour suivre le cursus estudiantin pour lequel une autorisation de séjour lui a été délivrée en septembre 2011, au sens de l'art. 27 al. 1 let. d LEtr. A ce titre, il y a lieu de relever que l'intéressé, titulaire d'une licence universitaire en Théologie et Savoir Islamique - Jurisprudence religieuse et Fondements du Droit Islamique que lui a décernée l'Université d'Azad Shahre Rey, à Téhéran, en février 2011, a motivé sa requête d'octroi d'un visa de long séjour pour la Suisse par la volonté d'acquérir une maîtrise universitaire en DCS à l'Université de Lausanne. Or, force est de constater qu'à ce jour, si l'intéressé a débuté la formation pour laquelle l'autorisation de séjour lui avait été délivrée, il a été contraint à une réorientation en raison de problèmes psychiques pour lesquels il est encore suivi. Certes, il peut se targuer de l'obtention de 60 crédits ECTS, obtenus dans le cadre du suivi d'une année propédeutique à l'Université de Genève, durant deux semestres (12/13) mais force est de constater qu'il s'agissait là de cours intensifs d'enseignement de la langue française, aux fins de lui permettre de comprendre les aspects techniques des cours enseignés à l'Université de Lausanne dans la filière initialement choisie (cf. courriers des 18 novembre 2012 et 23 janvier 2013). Ceci observé,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a fait valoir, dans son courrier explicatif du 18 novembre 2012 (cf. lettre A.d ci-dessus), sa volonté de perfectionner ses connaissances linguistiques, puis de reprendre ses études par l'obtention d'un master, suivi, dans un second temps d'un doctorat, le Tribunal ne saurait contester que la présence en Suisse de l'intéressé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 7.1 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7.2 Procédant à une pondération globale de tous les éléments en présence, le TAF retiendra ce qui suit. 7.2.1 Tout d'abord, il convient de retenir que l'intéressé n'a pour l'instant pas réalisé l'objectif qu'il s'était fixé lors du dépôt de sa requête, en juin 2011 et selon lequel il entendait venir étudier en Suisse durant 18 mois en vue d'obtenir un "Master of crime and security of Information Technology" à l'Université de Lausanne. En effet, non seulement il a dû interrompre ses études à l'Université de Lausanne pour s'inscrire à un cours de français intensif, à l'Université de Genève aux fins de comprendre le contenu de la matière enseignée mais il a également dû adapter ses objectifs initiaux en raison de problèmes de santé, qui perdurent à l'heure actuelle (cf. certificat médical du 18 septembre 2014). Il a ainsi choisi une nouvelle formation, qui, selon ses déclarations, serait plus courte et ne porterait que sur quatre semestres (trois semestres de cours et un semestre consacré à la rédaction d'un mémoire) au lieu des six semestres prévus initialement. Le Tribunal doit cependant constater qu'il n'a fourni aucun plan de cours détaillé, permettant d'apprécier la durée réelle de la nouvelle réorientation de l'intéressé. Il observe toutefois que selon les indications fournies par l'Université de Lausanne sur son site (http://www.unil.ch/droit/home/menuinst/droit/enseignement/master-droit/structure-du-cursus.html consulté en novembre 2014), le Master en Droit comporte 90 crédits ECTS, se répartissant en 69 crédits ECTS d'enseignement, 6 crédits ECTS de travaux de séminaire et 15 crédits ECTS pour le mémoire et sa défense. Pour ce qui a trait aux travaux de séminaire, l'intéressé doit en présenter au minimum trois avant la fin des cours, qui doivent avoir été jugés suffisant pour ouvrir l'accès aux derniers examens de Master. Quant au mémoire, il consiste en un travail de recherche personnel d'une trentaine de pages, sur un sujet accepté par l'enseignant de la discipline choisie. Sans vouloir remettre en question la volonté de l'intéressé d'atteindre le but fixé, le Tribunal émet cependant de forts doutes quant à la durée avancée par l'intéressé pour mener à bien son projet d'études et ce, d'autant plus qu'il est atteint dans sa santé. 7.2.3 Par ailleurs, à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C-820/2011 du 27 septembre 2013 consid. 8.2.2 et références citées). Or, force est en l'occurrence de constater que le recourant est déjà au bénéfice d'une formation universitaire (licence en Théologie et Savoir Islamique - Jurisprudence Religieuse et Fondements du Droit Islamique), accomplie à l'Université d'Azad Shahre Rey à Téhéran (cf. curriculum vitae) de sorte que la formation qu'il a en vue en Suisse doit s'inscrire dans une volonté de perfectionnement de celle, acquise en Iran. Toutefois, en l'absence d'un nouveau plan d'étude, il est impossible au Tribunal de se prononcer sur la pertinence des matières choisies par l'intéressé ni sur l'impossibilité de suivre celles-ci en Iran comme l'intéressé l'avait fait valoir pour le perfectionnement initialement choisi, dans la demande déposée en juin 2011. Aussi, l'intéressé doit-il se laisser opposer l'absence d'une nécessité démontrée de pouvoir suivre des études en Suisse à des fins de perfectionnement professionnel et ce, d'autant plus qu'il n'a fait valoir aucun projet professionnel justifiant ce dernier. 7.3 Certes, l'intéressé fait valoir qu'il achèverait sa formation dans la durée maximale de huit ans, prévue par la loi (cf. art. 23 al. 3 OASA). Toutefois, force est de constater qu'il ne s'agit là que d'une simple assertion de sa part, nullement étayée. De plus, l'intéressé n'ayant déposé aucun plan d'étude, il est impossible au Tribunal d'apprécier la justesse de cette affirmation. Cela étant, comme déjà relevé ci-avant, dans les circonstances actuelles du cas d'espèce, le Tribunal juge peu probable que l'intéressé obtienne le titre convoité après quatre semestres.</w:t>
      </w:r>
    </w:p>
    <w:p>
      <w:r>
        <w:rPr>
          <w:b/>
        </w:rPr>
        <w:t>E. 8</w:t>
      </w:r>
    </w:p>
    <w:p>
      <w:r>
        <w:t>En conclusion, suite à une pondération globale de tous les éléments en présence, on ne saurait reprocher au SEM d'avoir refusé de donner son aval à la prolongation de l'autorisation de séjour pour études en faveur de A._______.</w:t>
      </w:r>
    </w:p>
    <w:p>
      <w:r>
        <w:rPr>
          <w:b/>
        </w:rPr>
        <w:t>E. 9</w:t>
      </w:r>
    </w:p>
    <w:p>
      <w:r>
        <w:t>En l'absence d'autorisation de séjour en Suisse, c'est également à bon droit que l'autorité inférieure a prononcé le renvoi du recourant de Suisse sur la base de l'art. 64 al. 1 let. c LEtr. Le prénommé ne démontre pas l'existence d'obstacles à son retour en Iran et le dossier ne fait pas non plus apparaître que l'exécution de ce renvoi serait impossible, illicite ou inexigible au sens de l'art. 83 al. 2à 4 LEtr, de sorte que c'est à juste titre que le SEM a ordonné l'exécution de cette mesure.</w:t>
      </w:r>
    </w:p>
    <w:p>
      <w:r>
        <w:rPr>
          <w:b/>
        </w:rPr>
        <w:t>E. 10</w:t>
      </w:r>
    </w:p>
    <w:p>
      <w:r>
        <w:t>Il ressort de ce qui précède que, par sa décision du 18 juin 2013, le SEM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