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C-3863/2009 vom 23. Oktober 2009</w:t>
      </w:r>
    </w:p>
    <w:p>
      <w:r>
        <w:t>Bundesverwaltungsgericht, 2009-10-23, DE</w:t>
      </w:r>
    </w:p>
    <w:p>
      <w:r>
        <w:rPr>
          <w:b/>
        </w:rPr>
        <w:t xml:space="preserve">Quelle: </w:t>
      </w:r>
      <w:r>
        <w:t>https://mcp.opencaselaw.ch/entscheid/bvger_C-3863_2009</w:t>
      </w:r>
    </w:p>
    <w:p>
      <w:r>
        <w:t>FR: TAF C-3863/2009 du 23 octobre 2009</w:t>
      </w:r>
    </w:p>
    <w:p>
      <w:r>
        <w:t>IT: TAF C-3863/2009 del 23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Darüber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gambischer Staatsangehöriger unterliegt der Gesuchsteller damit der Visumspflicht.</w:t>
      </w:r>
    </w:p>
    <w:p>
      <w:r>
        <w:rPr>
          <w:b/>
        </w:rPr>
        <w:t>E. 7.1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In Gambia sind breite Bevölkerungsschichten von vergleichsweise schwierigen ökonomischen und sozialen Lebensbedingungen betroffen. Gambia zählt zu den ärmsten Ländern der Welt. Noch 2003 belief sich der Anteil der Bevölkerung mit weniger als einem US-Dollar pro Tag (nicht kaufkraftbereinigt) auf 59%. Die binnenwirtschaftliche Lage hat sich zwar in den letzten Jahren stabilisiert, und für 2009 wird ein Wirtschaftswachstum von 6% erwartet. Der Aufschwung ist jedoch für die meisten Gambier nicht spürbar. Kommt hinzu, dass aufgrund des hohen Bevölkerungswachstums von 2,7% (geschätzt 2008) das Wirtschaftswachstum nach wie vor zu gering ist, um die Lebensbedingungen der Bevölkerung zu verbessern (Quelle: Deutsches Auswärtiges Amt, &lt;www.auswaertiges-amt.de&gt;, Länder, Reisen und Sicherheit &gt; Gambia &gt; Wirtschaft: Stand Februar 2009, besucht im Oktober 2009). Entsprechend hoch ist der Anteil jener, die versuchen, nach Europa oder in andere Länder zu gelangen, in denen sie sich unter günstigeren Lebensbedingungen eine bessere Zukunft sichern möchten. Der Trend zeigt sich erfahrungsgemäss dort besonders stark, wo durch die Anwesenheit von Verwandten oder Bekannten bereits ein minimales soziales Beziehungsnetz im Ausland besteht. Im Falle der Schweiz führt dies angesichts der restriktiven fremdenpolizeilichen Zulassungsregelung nicht selten zur Umgehung ausländerrechtlicher Bestimmungen.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Beim Gesuchsteller handelt es sich um einen 19-jährigen, ledigen und kinderlosen Mann. Über die familiären Verhältnisse in Gambia ist bekannt, dass der Gesuchsteller - welcher in den letzten Jahren seine Mutter und eine Schwester verloren habe - mithelfen müsse, seine Familie zu ernähren. Sein Vater sei dazu altershalber nicht mehr in der Lage (vgl. Schreiben der Beschwerdeführerin vom 26. Januar 2009 an die Schweizerische Botschaft in Dakar). Die finanzielle Unterstützung seiner Herkunftsfamilie - weitere familiäre oder gesellschaftliche Verantwortlichkeiten werden nicht genannt - ist jedoch keine Verpflichtung, welche die persönliche Anwesenheit des Gesuchstellers vor Ort erfordert, sondern auch aus dem Ausland möglich ist. Die Emigration kann in diesem Fall sogar mit der Hoffnung verbunden sein, aus dem Ausland der Familie eine finanziell bessere Unterstützung erbringen zu können.</w:t>
      </w:r>
    </w:p>
    <w:p>
      <w:r>
        <w:rPr>
          <w:b/>
        </w:rPr>
        <w:t>E. 8.2</w:t>
      </w:r>
    </w:p>
    <w:p>
      <w:r>
        <w:t>Den Akten ist zudem zu entnehmen, der Gesuchsteller arbeite als Servicefachangestellter in einem Restaurant in Banjul und verdiene durchschnittlich Fr. 95.- pro Monat (vgl. u.a. Bestätigung des Arbeitsgebers des Gesuchstellers vom 26. Januar 2009 sowie die Gehaltsabrechnungen vom Oktober bis Dezember 2008). Die Beschwerdeführerin führt des Weiteren aus, der Gesuchsteller wolle nach der Rückkehr in sein Heimatland an seinen Arbeitsplatz zurückkehren (Fragebogen des Ausländeramts des Kantons St. Gallen S. 3). In Anbetracht der feststellbaren Differenzen betreffend Lebensqualität, soziale Absicherung und Lohnniveau zwischen der Schweiz und dem Heimatland des Gesuchstellers kann jedoch aus dem blossen Faktum einer Arbeitsstelle nicht schon auf einen fehlenden Willen geschlossen werden, aus dem Land zu emigrieren. Zusätzlich muss in Bezug auf die Arbeit eine besondere Bindung zum Heimatland auszumachen sein (vgl. Urteil des Bundesverwaltungsgerichts C-3013/2008 vom 14. Februar 2009 E. 8.4, wo der Gesuchsteller Inhaber eines Transportunternehmens ist und Angestellte beschäftigt). In casu ist diese besondere Bindung zu verneinen. Insbesondere ist auch nicht davon auszugehen, die berufliche Tätigkeit des Beschwerdeführers ermögliche ihm ein Leben in vorteilhaften und stabilen wirtschaftlichen Verhältnisse, die ihn nachhaltig davon abzuhalten vermöchten, die Auswanderung in die Schweiz in Erwägung zu ziehen: Immerhin muss er mit seinem Lohn als Service-fachangestellter tatkräftig mithelfen, seine Herkunftsfamilie zu ernähren. Auch verfügt er nicht über ein Bankkonto, wie es unter anderem aus einem Schreiben der Schweizerischen Botschaft vom 13. März 2009 hervorgeht. Die Beschwerdeführerin selbst macht denn auch replikweise geltend, der Gesuchsteller sei wirtschaftlich nicht so gut gestellt.</w:t>
      </w:r>
    </w:p>
    <w:p>
      <w:r>
        <w:rPr>
          <w:b/>
        </w:rPr>
        <w:t>E. 9.1</w:t>
      </w:r>
    </w:p>
    <w:p>
      <w:r>
        <w:t>Das Vorbringen der Beschwerdeführerin, wonach sie bereits zu einem früheren Zeitpunkt einen Gast - den Vater ihres Lebensgefährten - aus Gambia empfangen habe und dieser die Schweiz nach seinem Besuch fristgerecht und anstandslos wieder verlassen habe (Beschwerde S. 2), kann an dieser Beurteilung nichts ändern. Massgebend ist lediglich, ob der aktuell eingeladene Gast Gewähr für eine fristgerechte Wiederausreise bietet. Wie vorstehend dargelegt, bestehen daran jedoch aufgrund der nicht genügend verbindlichen Verpflichtungen des Gesuchstellers in seinem Heimatland Zweifel. Die allfällige anstandslose Wiederausreise einer früher vom Gastgeber eingeladenen Person vermag diese nicht auszuräumen. Von der Beschwerdeführerin wird im Übrigen - ausser dem Verweis darauf, dass ihr früherer Gast aufgrund seiner familiären und beruflichen Situation wesentlich weniger Grund gehabt hätte, nach dem Besuchsaufenthalt in sein Heimatland zurückzukehren (Beschwerde S. 2) - auch nicht dargetan, inwiefern die Verhältnisse, in welchen sich der Gesuchsteller befindet, vergleichbar sein sollen mit denjenigen der erwähnten Person.</w:t>
      </w:r>
    </w:p>
    <w:p>
      <w:r>
        <w:rPr>
          <w:b/>
        </w:rPr>
        <w:t>E. 9.2</w:t>
      </w:r>
    </w:p>
    <w:p>
      <w:r>
        <w:t>Der Vollständigkeit halber sei erwähnt, dass auch die von der Beschwerdeführerin am 8. April 2009 unterzeichnete Verpflichtungserklärung an dieser Einschätzung nichts zu ändern vermag. Die Integrität der Beschwerdeführerin in ihrer Eigenschaft als Gastgeberin wird nicht in Zweifel gezogen. Vor diesem Hintergrund sind auch die Hinweise der Beschwerdeführerin auf ihre wirtschaftliche Situation (Beschwerde S. 1) nicht entscheidend.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C-801/2006 vom 29. November 2007 E. 5.4). Dementsprechend würde auch die von der Beschwerdeführerin angebotene Hinterlegung des Schweizer Passes beim Ausländeramt oder die Durchführung einer wöchentlichen Kontrolle bei einer Polizeiwache an der vorgenommenen Beurteilung nichts ändern, da auch jene nicht die fristgerechte Wiederausreise des Gesuchstellers garantieren könnten.</w:t>
      </w:r>
    </w:p>
    <w:p>
      <w:r>
        <w:rPr>
          <w:b/>
        </w:rPr>
        <w:t>E. 9.3</w:t>
      </w:r>
    </w:p>
    <w:p>
      <w:r>
        <w:t>Vor dem aufgezeigten allgemeinen und persönlichen Hintergrund durfte die Vorinstanz demnach zu Recht davon ausgehen, dass keine hinreichende Gewähr für eine fristgerechte und anstandslose Wiederausreise des Gesuchstellers nach einem Besuchsaufenthalt besteht. Vor diesem Hintergrund ist auch das Vorbringen der Beschwerdeführerin unbehelflich, die Vorinstanz entscheide lediglich aufgrund einer Empfehlung der Wohngemeinde, welche diese vom Stand der Steuerzahlung abhängig mache. Die Solvenz der Beschwerdeführerin wurde - wie aus der Verfügung vom 28. Mai 2009 und der Vernehmlassung vom 11. September 2009 hervorgeht - von der Vorinstanz auch nicht weiter überprüft. Die Einreisebewilligung wurde lediglich aufgrund der fehlenden familiären, gesellschaftlichen und beruflichen Verpflichtungen des Beschwerdeführers in seinem Heimatland verweigert. Berücksichtigt wurden bei der Entscheidfindung nicht nur die vom kantonalen Migrationsamt durchgeführten Abklärungen sondern auch das Einreisebegehren vom 13. März 2009 und die Einschätzung der Schweizer Vertretung in Dakar (vgl. Vernehmlassung vom 11. September 2009 S. 1, 1. Abschnitt).</w:t>
      </w:r>
    </w:p>
    <w:p>
      <w:r>
        <w:rPr>
          <w:b/>
        </w:rPr>
        <w:t>E. 10</w:t>
      </w:r>
    </w:p>
    <w:p>
      <w:r>
        <w:t>Aus vorstehenden Erwägungen folgt, dass die angefochtene Verfügung im Lichte von Art. 49 VwVG nicht zu beanstanden ist. Die Beschwerde ist daher abzuweisen.</w:t>
      </w:r>
    </w:p>
    <w:p>
      <w:r>
        <w:rPr>
          <w:b/>
        </w:rPr>
        <w:t>E. 11</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nächste Seite) Das Bundesverwaltungsgericht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