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C-3863/2008 vom 14. Juli 2010</w:t>
      </w:r>
    </w:p>
    <w:p>
      <w:r>
        <w:t>Bundesverwaltungsgericht, 2010-07-14, FR</w:t>
      </w:r>
    </w:p>
    <w:p>
      <w:r>
        <w:rPr>
          <w:b/>
        </w:rPr>
        <w:t xml:space="preserve">Quelle: </w:t>
      </w:r>
      <w:r>
        <w:t>https://mcp.opencaselaw.ch/entscheid/bvger_C-3863_2008</w:t>
      </w:r>
    </w:p>
    <w:p>
      <w:r>
        <w:t>FR: TAF C-3863/2008 du 14 juillet 2010</w:t>
      </w:r>
    </w:p>
    <w:p>
      <w:r>
        <w:t>IT: TAF C-3863/2008 del 14 luglio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un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w:t>
      </w:r>
    </w:p>
    <w:p>
      <w:r>
        <w:t>Ainsi que le Tribunal fédéral a eu l'occasion de l'observer dans un arrêt récemment publié (ATF 135 V 215 consid. 4.1), on peut envisager, en matière d'assurances sociales, quatre cas dans lesquels un conflit peut surgir entre une situation juridique actuelle et une décision de prestations, assortie d'effets durables, entrée en force formelle (ATF 127 V 10 consid. 4b, 115 V 308 consid. 4a; URS MÜLLER, Die materiellen Voraussetzungen der Rentenrevision in der Invalidenversicherung, thèse Fribourg 2002, p. 91 ss; RUDOLF RÜEDI, Die Verfügungsanpassung als verfahrensrechtliche Grundfigur namentlich von Invaliden-rentenrevisionen, in: Schaffhauser/Schlauri [Hrsg.], Die Revision von Dauerleistungen in der Sozialversicherung, St-Gall 1999, p. 9 ss et p. 12 s.; ALEXANDRA RUMO-JUNGO, Die Instrumente zur Korrektur der Sozialversicherungsverfügung, in: Verfahrensfragen in der Sozial-versicherung, St-Gall 1996, p. 263 ss et p. 277 ss; ULRICH MEYER-BLASER, Die Abänderung formell rechtskräftiger Verwaltungsverfügungen in der Sozialversicherung, Schweizerisches Zentralblatt für Staats- und Verwaltungsrecht [ZBl] 95/1994 p. 337 ss et p. 348 ss).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Cette question a été examinée exhaustivement par le Tribunal fédéral dans sa jurisprudence. Dans l'hypothèse d'une modification du droit qui résulte d'une intervention du législateur, le rapport de droit durable doit, en règle générale, y être adapté, sous réserve du droit transitoire et des droits acquis (ATF 121 V 157 consid. 4a). Par contre, la jurisprudence n'admet une intervention dans un rapport de droit durable en raison d'un changement de jurisprudence que si dit changement est de portée générale, si des intérêts publics prépondérants sont concernés par l'intervention et si cette dernière est commandée par le respect de l'égalité de traitement des assurés (ATF 135 V 215 consid. 5). Dans le cas présent, un seul des motifs pouvant entraîner la modification du droit à la rente a été envisagé par l'OAIE, soit la reconsidération de l'art. 53 al. 2 LPGA visant à corriger une application initiale erronée du droit. Pour le Tribunal administratif fédéral, il s'agit d'examiner le bien fondé de ce seul motif. En effet, on ne saurait envisager en l'occurrence ni inexactitude initiale sur les faits, ni inexactitude ultérieure sur les faits, ni application ultérieure erronée du droit à la suite d'une modification des fondements juridiques déterminants survenue après le prononcé de la décision. En particulier, le recourant n'ayant vécu ni évolution notable de son état de santé ni changement important des conséquences de celui-ci sur sa capacité de gain, les circonstances déterminantes sont restées inchangées, de sorte il n'y a pas matière à révision au sens de l'art. 17 LPGA (ATF 130 V 343 consid. 3.5, 113 V 273 consid. 1a, 112 V 371 consid. 2b, 112 V 387 consid. 1b; arrêt du Tribunal fédéral I 755/04 du 25 septembre 2006 consid. 5.1; Droit des assurances sociales - Jurisprudence [SVR] 2004 IV n. 5 consid. 3.3.3).</w:t>
      </w:r>
    </w:p>
    <w:p>
      <w:r>
        <w:rPr>
          <w:b/>
        </w:rPr>
        <w:t>E. 8</w:t>
      </w:r>
    </w:p>
    <w:p>
      <w:r>
        <w:t>Selon l'art. 53 al. 2 LPGA, l'assureur peut revenir sur les décisions formellement passées en force lorsqu'elles sont manifestement erronées et que leur rectification revêt une importance notable. Par ailleurs, lorsque c'est le juge qui, le premier, constate le caractère sans nul doute erroné de la décision de rente initiale, il peut confirmer, en invoquant ce motif, la décision de révision prise par l'administration en application de l'art. 17 LPGA (arrêt du Tribunal fédéral 9C_860/2008 du 19 février 2009 consid. 2.2; ATF 125 V 368 consid. 2).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I 375/02 du 6 mai 2003, consid. 2.2). Une modification de la pratique ne saurait guère faire apparaître l'ancienne comme sans nul doute erronée. Une erreur d'appréciation ne justifie pas non plus la reconsidération d'une décision (arrêt du Tribunal fédéral 9C_860/2008 du 19 février 2009; ATF 117 V 17 consid. 2c et réf. cit.).</w:t>
      </w:r>
    </w:p>
    <w:p>
      <w:r>
        <w:rPr>
          <w:b/>
        </w:rPr>
        <w:t>E. 9</w:t>
      </w:r>
    </w:p>
    <w:p>
      <w:r>
        <w:t>En l'espèce, il est constant que la décision de l'OAI-GE du 25 octobre 2002 n'a pas fait l'objet d'un contrôle judiciaire et qu'il y a un intérêt à sa rectification, dans la mesure où, si la reconsidération devait être admise, la rente d'invalidité dont bénéficiait le recourant devrait être supprimée.</w:t>
      </w:r>
    </w:p>
    <w:p>
      <w:r>
        <w:rPr>
          <w:b/>
        </w:rPr>
        <w:t>E. 9.1</w:t>
      </w:r>
    </w:p>
    <w:p>
      <w:r>
        <w:t>Dans la décision entreprise et dans sa réponse au recours, l'autorité intimée a avancé que la décision de l'OAI-GE aurait été prononcée en ignorant les principes de l'évaluation de l'invalidité, dans la mesure où en aucun cas il n'y avait lieu d'admettre que l'activité de l'assuré restait limitée à une activité exercée dans un atelier protégé. Pour l'OAIE, la comparaison des revenus aurait dû être effectuée sur le marché ouvert du travail et avec des salaires usuels et non sur la base de salaires relatifs à une activité exercée dans un atelier protégé.</w:t>
      </w:r>
    </w:p>
    <w:p>
      <w:r>
        <w:rPr>
          <w:b/>
        </w:rPr>
        <w:t>E. 9.2</w:t>
      </w:r>
    </w:p>
    <w:p>
      <w:r>
        <w:t>D'un point de vue somatique, il avait été constaté, lors des tomodensitométries lombaires réalisées en 1999 et 2002 (pces OAIE 95 et 115), que A._______ était atteint d'une hernie discale sous-ligamentaire L5-S1 médiane et légèrement para-médiane comprimant légèrement le sac dural, sans atteinte neurologique manifeste. Selon le rapport médical du Dr B._______ (pces OAIE 101, 102 et 107), il existait une incapacité totale dans l'activité habituelle, la question d'une capacité dans une activité de substitution devant faire l'objet d'un examen. Le Dr C._______ avait notamment observé, dans son rapport du 23 janvier 2001 (pce OAIE104), qu'il ne pensait pas que l'on pouvait décréter que l'assuré pouvait sans autre se remettre au travail. De plus, il a été médicalement attesté que la capacité de travail de A._______ était, d'une manière générale, limitée à 50% (pces OAIE 109 à 111). La synthèse du rapport réalisé après le second stage auprès du Centre d'Intégration Professionnelle, du 18 mars au 16 juin 2002, (pce OAIE 37) relève que malgré le passage à un mi-temps, l'assuré a constamment maintenu des rendements situés entre 25% et 45% et que les maîtres de stage avaient perçu un faible engagement et avaient estimé qu'il serait raisonnable d'en attendre plus, soit un rendement de 50% sur un plein temps. Il a toutefois été conclu, en tenant compte de l'appréciation médicale émises par le Dr B._______ et le par le Dr D._______, que l'assuré pouvait théoriquement travailler à mi-temps dans un emploi simple permettant des alternances avec un rendement de 50%, mais ne pouvait pas être réadapté avec succès en raison de cette capacité résiduelle de travail de 25%. Ces conclusions ont été reprises par la DRP dans son rapport final du 31 juillet 2002 (pce OAIE 39). Au demeurant, il est à noter qu'ainsi un rendement supérieur (50%) à celui effectivement fourni par l'assuré lors des stages (25% à 45%) a été retenu. Il paraît dès lors que la capacité de travail de A._______ dans une activité de substitution adapté à son état de santé était clairement établie à 50%, avec un rendement de 50%, et que l'OAI-GE n'avait aucune raison justifiée de s'écarter de cette appréciation. Compte tenu de cette capacité de travail résiduelle, peu importait finalement que l'OAI-GE ait procédé à l'évaluation de l'invalidité en considération des salaires du marché du travail libre ou des revenus réalisables en atelier protégé. En effet, avec une telle capacité de travail et un tel rendement, force est de constater que le taux d'invalidité aurait dépassé de toute manière la limite inférieure donnant droit à une rente entière.</w:t>
      </w:r>
    </w:p>
    <w:p>
      <w:r>
        <w:rPr>
          <w:b/>
        </w:rPr>
        <w:t>E. 9.3</w:t>
      </w:r>
    </w:p>
    <w:p>
      <w:r>
        <w:t>Aussi peut-on conclure qu'avant de se prononcer sur la demande de prestations déposée par A._______, l'OAI-GE a instruit la cause à satisfaction, ainsi qu'il est démontré par les pièces versées au dossier à cette époque (cf. supra consid. B.a). De plus, la question de la priorité de la réadaptation sur la rente a été dûment examinée par la DRP, suite à l'appréciation des médecins ayant été consultés à l'époque et des stages auxquels A._______ s'est soumis (pce OAIE 39). Dans ces circonstances, il n'y a pas lieu de considérer que l'OAI-GE a fait à l'époque un usage manifestement erroné de son pouvoir d'appréciation ou a violé le droit fédéral.</w:t>
      </w:r>
    </w:p>
    <w:p>
      <w:r>
        <w:rPr>
          <w:b/>
        </w:rPr>
        <w:t>E. 9.4</w:t>
      </w:r>
    </w:p>
    <w:p>
      <w:r>
        <w:t>Force est dès lors pour l'autorité de céans de constater que la décision du 25 octobre 2002 n'est pas manifestement erronée (arrêt du Tribunal fédéral 9C_659/2009 du 12 février 2010, 9C_71/2008 du 14 mars 2008, 9C_575/2007 du 18 octobre 2007 et I 790/2001 du 13 août 2003). Une reconsidération de cette décision ne saurait, partant, se concevoir.</w:t>
      </w:r>
    </w:p>
    <w:p>
      <w:r>
        <w:rPr>
          <w:b/>
        </w:rPr>
        <w:t>E. 10</w:t>
      </w:r>
    </w:p>
    <w:p>
      <w:r>
        <w:t>Eu égard à ce qui précède, le recours doit être admis et la décision entreprise annulée. Le droit du recourant à percevoir une rente d'invalidité entière, ainsi que les rentes complémentaires y relatives, doit être maintenu.</w:t>
      </w:r>
    </w:p>
    <w:p>
      <w:r>
        <w:rPr>
          <w:b/>
        </w:rPr>
        <w:t>E. 11</w:t>
      </w:r>
    </w:p>
    <w:p>
      <w:r>
        <w:t>Vu l'issue de la cause, il n'est pas perçu de frais de procédure (art. 63 al. 1 et 2 PA, art. 6 let. b du règlement du 21 février 2008 concernant les frais, dépens et indemnités fixés par le Tribunal administratif fédéral [FITAF, RS 173.320.2]). L'avance versée par A._______ lui sera intégralement restituée par la caisse du Tribunal. En vertu de l'art. 64 PA - applicable en l'espèce au sens de l'art. 53 al. 2 LTAF - et de l'art. 7 FITAF, la partie ayant obtenu entièrement ou partiellement gain de cause a droit à une indemnité pour les frais indispensables et relativement élevés qui lui ont été occasionnés. L'indemnité pour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2'500.--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