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C-3850/2009 vom 2. Januar 2013</w:t>
      </w:r>
    </w:p>
    <w:p>
      <w:r>
        <w:t>Bundesverwaltungsgericht, 2013-01-02, DE</w:t>
      </w:r>
    </w:p>
    <w:p>
      <w:r>
        <w:rPr>
          <w:b/>
        </w:rPr>
        <w:t xml:space="preserve">Quelle: </w:t>
      </w:r>
      <w:r>
        <w:t>https://mcp.opencaselaw.ch/entscheid/bvger_C-3850_2009</w:t>
      </w:r>
    </w:p>
    <w:p>
      <w:r>
        <w:t>FR: TAF C-3850/2009 du 2 janvier 2013</w:t>
      </w:r>
    </w:p>
    <w:p>
      <w:r>
        <w:t>IT: TAF C-3850/2009 del 2 gennaio 2013</w:t>
      </w:r>
    </w:p>
    <w:p>
      <w:pPr>
        <w:pStyle w:val="Heading2"/>
      </w:pPr>
      <w:r>
        <w:t>Regeste</w:t>
      </w:r>
    </w:p>
    <w:p>
      <w:r>
        <w:t>nach Auflösung der Familiengemeinschaft</w:t>
      </w:r>
    </w:p>
    <w:p>
      <w:pPr>
        <w:pStyle w:val="Heading2"/>
      </w:pPr>
      <w:r>
        <w:t>Erwägungen</w:t>
      </w:r>
    </w:p>
    <w:p>
      <w:r>
        <w:rPr>
          <w:b/>
        </w:rPr>
        <w:t>E. 1.1</w:t>
      </w:r>
    </w:p>
    <w:p>
      <w:r>
        <w:t>Verfügungen des BFM nach Art. 5 des Verwaltungsverfahrensgesetzes vom 20. Dezember 1968 (VwVG, SR 172.021) unterliegen der Beschwerde an das Bundesverwaltungsgericht (Art. 31, Art. 32 sowie Art. 33 Bst. d des Verwaltungsgerichtsgesetzes vom 17. Juni 2005 [VGG, SR 173.32]). Dieses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VGG nichts anderes bestimmt.</w:t>
      </w:r>
    </w:p>
    <w:p>
      <w:r>
        <w:rPr>
          <w:b/>
        </w:rPr>
        <w:t>E. 1.3</w:t>
      </w:r>
    </w:p>
    <w:p>
      <w:r>
        <w:t>Die Beschwerdeführerin ist als Verfügungsadressatin zur Erhebung des Rechtsmittels legitimiert. Auf ihre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Der Beschwerdeführerin ist zwar noch unter dem Geltungsbereich des Bundesgesetzes vom 26. März 1931 über Aufenthalt und Nieder­lassung der Ausländer (ANAG, BS 1 121) eine erstmalige Aufenthalts­bewilligung erteilt worden, da sie jedoch am 17. November 2008 die Verlängerung dieser Bewilligung beantragt hat, gelangt vorliegend auch materiell neues Recht zur Anwendung.</w:t>
      </w:r>
    </w:p>
    <w:p>
      <w:r>
        <w:rPr>
          <w:b/>
        </w:rPr>
        <w:t>E. 4.1</w:t>
      </w:r>
    </w:p>
    <w:p>
      <w:r>
        <w:t>Gemäss Art. 40 AuG sind die Kantone zuständig für die Erteilung und Verlängerung von Bewilligungen. Vorbehalten bleibt jedoch die Zustim­mung durch das BFM. Dessen - von der Beschwerdeführerin bestrittenes - Zustimmungserfordernis ergibt sich im vor­­liegenden Fall aus Art. 99 AuG i.V.m. Art. 85 Abs. 1 Bst. a VZAE. Letztgenannte Bestimmung wird präzisiert durch die Weisungen des BFM im Ausländerbereich in der Fassung vom 16. Juli 2012 (online abrufbar unter: www.bfm.admin.ch Dokumentation Rechtliche Grundlagen Weisungen und Kreisschreiben I. Ausländerbereich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 Nichts anderes galt im Übrigen unter der Herrschaft des alten Rechts (vgl. statt vieler Urteil des Bundesverwaltungsgerichts C-195/2008 vom 25. Mai 2011 E. 4.1).</w:t>
      </w:r>
    </w:p>
    <w:p>
      <w:r>
        <w:rPr>
          <w:b/>
        </w:rPr>
        <w:t>E. 4.2</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5.1</w:t>
      </w:r>
    </w:p>
    <w:p>
      <w:r>
        <w:t>Nach Art. 43 Abs. 1 AuG haben ausländische Ehegatten von Personen mit Niederlassungsbewilligung, wenn sie mit diesen zusammenwohnen, Anspruch auf Erteilung und Verlängerung der Aufenthaltsbewilligung und - nach einem ordnungsgemässen und ununterbrochenen Aufenthalt von fünf Jahren - Anspruch auf Erteilung einer Niederlassungsbewilligung (Art. 43 Abs. 2 AuG). Der Fortbestand dieser Bewilligung hängt her­nach nicht mehr vom Zusammenleben der Eheleute ab (vgl. Art. 34 Abs. 1 AuG; Urteil des Bundesgerichts 2C_241/2009 vom 23. September 2009 E. 3). Das Erfordernis des Zusammenlebens nach Art. 43 Abs. 1 AuG be­steht nicht, wenn für getrennte Wohnorte wichtige Gründe geltend ge­macht werden und die familiäre Gemeinschaft weiter besteht (Art. 49 AuG). Der Anspruch aus Art. 43 Abs. 1 AuG erlischt, wenn er rechtsmiss­bräuchlich geltend gemacht wird, namentlich um Vorschriften dieses Geset­zes und seiner Ausführungsbestimmungen über die Zulassung und den Aufenthalt zu umgehen (Art. 51 Abs. 1 Bst. a AuG).</w:t>
      </w:r>
    </w:p>
    <w:p>
      <w:r>
        <w:rPr>
          <w:b/>
        </w:rPr>
        <w:t>E. 5.2</w:t>
      </w:r>
    </w:p>
    <w:p>
      <w:r>
        <w:t>Nach Auflösung der Ehe oder Familiengemeinschaft - mitgemeint ist auch die eheliche Gemeinschaft - besteht der Anspruch auf Erteilung und Verlängerung der Aufenthaltsbewilligung u.a. nach Art. 43 Abs. 1 AuG weiter, wenn die Ehegemeinschaft mindestens drei Jahre bestanden hat und eine erfolgreiche Integration besteht (vgl. Art. 50 Abs. 1 Bst. a AuG) oder wenn wichtige persönliche Gründe einen weiteren Aufenthalt in der Schweiz erforderlich machen (vgl. Art. 50 Abs. 1 Bst. b AuG).</w:t>
      </w:r>
    </w:p>
    <w:p>
      <w:r>
        <w:rPr>
          <w:b/>
        </w:rPr>
        <w:t>E. 6.1</w:t>
      </w:r>
    </w:p>
    <w:p>
      <w:r>
        <w:t>Das zeitliche Kriterium der dreijährigen Dauer der Ehegemeinschaft ist nicht gleichbedeutend mit der Dauer der Haushaltsgemeinschaft. Von einer bestehenden Ehegemeinschaft kann grundsätzlich - und vor­be­hältlich offenkundiger Missbrauchsabsichten - ausgegangen werden, so­lange die Ehegatten zusammen leben. Der Fortbestand der Ehe­gemein­­schaft kann aber auch im Fall ihres Getrenntlebens ange­nommen wer­den, nämlich dann, wenn für das Getrenntleben objektivier­bare Gründe bestehen (vgl. Marc Spescha in: Spescha/Thür/Zünd/Bolzli [Hrsg.], Kommentar Migrationsrecht, 2. aktuali­sier­te Auflage, Zürich 2009, Art. 50 AuG N 4). Art. 49 AuG spricht inso­weit von wichtigen Gründen, die in der Botschaft zum AuG vom 8. März 2002 (BBl 2002 3753 f.) zum einen als berufliche Gründe, zum anderen auch als andere wichtige und nach­vollziehbare Gründe bezeichnet werden. Zu letzteren zählt - so explizit Art. 76 VZAE - eine vorüber­gehende Trennung wegen erheblicher fa­miliärer Probleme, womit der Gesetzgeber insbesondere Fälle häuslicher Gewalt im Auge hat­te (vgl. Esther S. Amstutz in: Caroni/Gächter/ Thurnherr [Hrsg.], Stämpflis Hand­kommen­tar zum Bundes­ge­setz über die Ausländerinnen und Ausländer [AuG], Bern 2010, Art. 49 N 24; Urteile des Bundes­gerichts 2C_314/2010 vom 26. Juli 2010 E. 2.2 und 2C_544/2010 vom 23. Dezember 2010 E. 2.3.1). Erhebliche familiäre Probleme sind beispielsweise dann gegeben, wenn ein vorübergehender Aufenthalt in einem Frauenhaus erfolgt oder wenn ein Ehegatte zeitweise aus der gemeinsamen Wohnung weggewiesen wird (vgl. Urteil des Bundesverwaltungsgerichts C-7742/2008 E. 5.1 mit Hinweisen). Entscheidend ist jedoch bei all diesen Gründen, dass die eheliche Gemeinschaft weiter besteht, d.h., dass die Beziehung tatsächlich gelebt wird und die beiden Ehegatten den Willen zur Gemeinschaft haben, an den Bestand der Ehe glauben und an ihr festhalten (vgl. Amstutz, a.a.O., Art. 49 N 29). Hält im Falle erheb­licher Eheprobleme das Getrenntleben an, so stellt sich die Frage, ob die Tren­nung als definitiv und die Familien­gemein­schaft damit als aufgelöst zu betrachten ist (vgl. Marc Spescha, a.a.O. Art. 49 AuG N. 3).</w:t>
      </w:r>
    </w:p>
    <w:p>
      <w:r>
        <w:rPr>
          <w:b/>
        </w:rPr>
        <w:t>E. 6.2</w:t>
      </w:r>
    </w:p>
    <w:p>
      <w:r>
        <w:t>Die Vorinstanz vertritt die Auffassung, dass die Ehe der Beschwerdeführerin und ihres Ehegatten bis zur Trennung im Dezember 2000 und damit während zwei Jahren und zehn Monaten Aufenthalt bestanden hat. Daher entfalle die Anwendbarkeit von Art. 50 Abs. 1 Bst. a AuG bereits, weil die gesetzlich statuierte Mindestdauer des ehelichen Zusammenlebens von drei Jahren nicht erfüllt sei.</w:t>
      </w:r>
    </w:p>
    <w:p>
      <w:r>
        <w:rPr>
          <w:b/>
        </w:rPr>
        <w:t>E. 6.3</w:t>
      </w:r>
    </w:p>
    <w:p>
      <w:r>
        <w:t>Gegen diese nicht näher begründete Beurteilung wendet die Beschwerdeführerin ein, die eheliche Gemeinschaft sei erst nach der in Art. 50 Abs. 1 Bst. a AuG genannten Dreijahresfrist als endgültig gescheitert zu bezeichnen. So hätten sie sich, nach einer ersten, vorübergehenden Trennung Anfangs 2001 und dem Aufenthalt der Beschwerdeführerin im Frauenhaus wieder versöhnt, bis sie sich am 7. Februar 2002 endgültig zerstritten hätten.</w:t>
      </w:r>
    </w:p>
    <w:p>
      <w:r>
        <w:rPr>
          <w:b/>
        </w:rPr>
        <w:t>E. 6.4</w:t>
      </w:r>
    </w:p>
    <w:p>
      <w:r>
        <w:t>Diese Aussage deckt sich mit der Feststellung in der Trennungsvereinbarung vom 30. Mai 2002, wonach der gemeinsame Haushalt seit Anfangs Februar 2002 aufgehoben ist. Unbestritten ist sodann, dass die eheliche Gemeinschaft nach der Trennung im Februar 2002 nicht wieder aufgenommen wurde. In diesem Sinne äussern sich auch die Dokumentationen der Polizei (Journal und Rapport), welche bestätigen, dass die Beschwerdeführerin, nach der Auseinandersetzung vom 7. Februar 2002, lediglich noch in die eheliche Wohnung zurückkehrte, um das Nötigste zu holen. Auf der einen Seite impliziert der Umstand, dass die Beschwerdeführerin die persönlichen Effekten bei ihrem Ehegatten hatte, das Vorbestehen einer gemeinsamen Wohnsituation und entsprechend der ehelichen Gemeinschaft. Auf der anderen Seite ist aus den vorhandenen Dokumentationen zu entnehmen, dass es nach dieser Auseinandersetzung nicht mehr zur Wiederaufnahme der ehelichen Gemeinschaft gekommen ist. Sodann bleibt die Beurteilung der Zeit nach der Rückkehr aus dem Marokko. Gemeinsam mit ihrer Tochter weilte die Beschwerdeführerin für einige Zeit in einem Frauenhaus. Da sich die eheliche Situation in der Folge offensichtlich wieder entspannte, kehrte die Beschwerdeführerin zu ihrem Ehemann zurück. Unbestritten stellt dieser Sachverhalt einen Anwendungsfall von Art. 49 AuG dar, welcher aufgrund (vorübergehender) erheblicher familiärer Probleme zum Tragen kommt. Damit erweist sich die Ausnahme vom Erfordernis des Zusammenwohnens nach Art. 43 AuG als begründet. Folglich ist an die zwei Jahre und zehn Monate die Dauer der Wiederaufnahme der ehelichen Gemeinschaft bis zur Endgültigen Trennung am 7. Februar 2002 anzurechnen. Da der Zeitpunkt der Wiederaufnahme der ehelichen Gemeinschaft mangels objektiver Anhaltspunkte in den Akten nicht hervor geht, erweist sich eine exakte Bestimmung der anrechenbaren Dauer als unmöglich. Im Sinne eines Umkehrschlusses ist indessen davon auszugehen, dass der Aufenthalt im Frauenhaus nicht länger als einige Wochen gedauert hat und damit die eheliche Gemeinschaft während mehr als zwei Monaten wieder aufgenommen wurde. Angesichts der bereits unbestrittenen Ehedauer von zwei Jahren und zehn Monaten, kann das Kriterium der Dreijahresfrist ohne Weiteres als erfüllt betrachtet werden. Die erste der beiden in Art. 50 Abs. 1 Bst. b AuG genannten Voraussetzungen gilt damit als erfüllt (zur strikten Massgabe dieser Dreijahresfrist siehe BGE 137 II 345 E. 3.1.3).</w:t>
      </w:r>
    </w:p>
    <w:p>
      <w:r>
        <w:rPr>
          <w:b/>
        </w:rPr>
        <w:t>E. 7.1</w:t>
      </w:r>
    </w:p>
    <w:p>
      <w:r>
        <w:t>Selbst bei Vorliegen einer vorherigen dreijährigen Ehegemeinschaft kann die Beschwerdeführerin aus Art. 50 Abs. 1 Bst. a AuG nur dann einen Anspruch auf Verlängerung ihrer Aufenthaltsbewilligung ableiten, wenn sie sich in der Schweiz erfolgreich integriert hat. Beide Kriterien, Fristablauf und Integration müssen kumulativ vorliegen, damit ein Rechtsanspruch auf Verlängerung der Aufenthaltsbewilligung besteht (BGE 136 II 113 E. 3.3.3). Diesbezüglich ist deshalb zu beurteilen, ob die Umstände, mit denen sie ihre soziale und berufliche Eingliederung zu belegen bzw. glaubhaft zu machen versucht, genügen.</w:t>
      </w:r>
    </w:p>
    <w:p>
      <w:r>
        <w:rPr>
          <w:b/>
        </w:rPr>
        <w:t>E. 7.2</w:t>
      </w:r>
    </w:p>
    <w:p>
      <w:r>
        <w:t>Das AuG enthält keine Legaldefinition des Begriffs Integration, verwendet diesen Begriff aber im Sinne eines gesamtgesellschaftlichen Ziels. Die Integration bezweckt, längerfristig und rechtmässig anwesenden Ausländerinnen und Ausländern die Teilhabe am wirtschaftlichen, sozialen und kulturellen Leben zu ermöglichen (Art. 4 Abs. 2 AuG; BGE 134 II 1 E. 4.1 S. 4). Nach Art. 77 Abs. 4 VZAE liegt eine erfolgreiche Integration im Sinne von Art. 50 Abs. 1 Bst. a AuG namentlich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(vgl. Urteil des Bundesgerichts 2C_426/2011 vom 30. November 2011 E. 3.2 mit Hinweisen).</w:t>
      </w:r>
    </w:p>
    <w:p>
      <w:r>
        <w:rPr>
          <w:b/>
        </w:rPr>
        <w:t>E. 7.3</w:t>
      </w:r>
    </w:p>
    <w:p>
      <w:r>
        <w:t>Allzu hohe Anforderungen an den Integrationsgrad dürfen im Anwendungsbereich von Art. 50 Abs. 1 Bst. a AuG nicht gestellt werden. Die erfolgreiche Integration ist hier weder ein Aspekt des privaten Interesses, das sich im Rahmen der Interessenabwägung bei einem Ermessensentscheid (vgl. Art. 54 Abs. 2 und Art. 96 Abs. 1AuG) gegen das zum vornherein erhebliche Gewicht des öffentlichen Interesses an der Wahrung einer restriktiven Migrationspolitik durchsetzen müsste, noch stellt sie sich als ein Wertungskriterium bei der Konkretisierung der restriktiv auszulegenden unbestimmten Rechtsbegriffe des "schwerwiegenden persönlichen Härtefalles" nach Art. 30 Abs. 1 Bst. b AuG bzw. des "wichtigen Grundes" nach Art. 50 Abs. 1 Bst. b AuG dar (vgl. Art. 31 Abs. 1 Bst. a VZAE). Sie ist vielmehr eine eigenständige Anspruchsvoraussetzung, die denjenigen ausländischen Personen zu einem Aufenthaltsrecht verhelfen will, die unter Berücksichtigung ihrer konkreten Situation einen ausreichenden Beitrag zum Integrationsprozess geleistet haben, wie er in Art. 77 Abs. 4 VZAE und Art. 4 VIntA umschrieben ist. Das ist nach der Rechtsprechung des Bundesgerichts regelmässig schon der Fall, wenn die ausländische Person eine feste Arbeitsstelle hat, die wirtschaftliche Sozialhilfe nicht in Anspruch nimmt, die öffentliche Ordnung achtet und die am Wohnort gesprochene Landessprache spricht (vgl. Urteil des Bundesgerichts 2C_426/2011 vom 30. November 2011 E. 3.3 mit Hinweisen). Eine erfolgreiche Integration hat die Praxis demgegenüber etwa dann verneint, wenn gegen die Rechtsordnung verstossen wurde, Schulden vorhanden sind, Sozialhilfe in Anspruch genommen wurde oder die erlangte finanzielle Unabhängigkeit erst von kurzer Dauer ist (vgl. Urteil des Bundesverwaltungsgerichts C-6240/2008 vom 23. Dezember 2011 E. 6.3 mit Hinweisen).</w:t>
      </w:r>
    </w:p>
    <w:p>
      <w:r>
        <w:rPr>
          <w:b/>
        </w:rPr>
        <w:t>E. 7.4</w:t>
      </w:r>
    </w:p>
    <w:p>
      <w:r>
        <w:t>Nach Aufgabe der ehelichen Gemeinschaft im Jahre 2002 bis im Februar 2009 hat die Beschwerdeführerin Fürsorgeleistungen in der Höhe von Fr. 256'103.95 bezogen. Unberücksichtigt bleiben hierbei die während der Ehe angehäuften Schulden, zumal die Aktenlage keine Zuordnung an eine bestimmte Person erlaubt. Sodann ist es der Beschwerdeführerin auch während des hängigen Beschwerdeverfahrens - bis vor kurzer Zeit - nicht gelungen Konstanz in ihre wirtschaftlichen Verhältnisse zu bringen, zumindest teilweise wirtschaftlich unabhängig zu sein oder gar während einer längeren Zeit einer Erwerbstätigkeit nachzugehen. Entsprechend war sie auf Unterstützung durch die öffentliche Hand angewiesen. Selbst wenn die aktenkundigen Anstrengungen in letzter Zeit wirtschaftliche Unabhängigkeit zu erreichen durchwegs positiv zu werten sind, genügt bereits die Höhe der verursachten Sozialhilfekosten an sich, um eine erfolgreiche Integration nach Art. 50 Abs. 1 Bst. a AuG zu verneinen.</w:t>
      </w:r>
    </w:p>
    <w:p>
      <w:r>
        <w:rPr>
          <w:b/>
        </w:rPr>
        <w:t>E. 8</w:t>
      </w:r>
    </w:p>
    <w:p>
      <w:r>
        <w:t>Unabhängig von den in Art. 50 Abs. 1 Bst. a AuG genannten Kriterien besteht der Anspruch auf Verlängerung der Aufenthaltsbewilligung fort, wenn wichtige persönliche Gründe einen weiteren Aufenthalt in der Schweiz erforderlich machen (vgl. Art. 50 Abs. 1 Bst. b AuG). Solche Gründe können namentlich - so explizit Art. 50 Abs. 2 AuG - vorliegen, wenn der betreffende Ehegatte Opfer ehelicher Gewalt wurde und seine soziale Wiedereingliederung im Herkunftsland stark gefährdet erscheint; beide Bedingungen müssen nicht kumulativ erfüllt sein (BGE 136 II 1 E. 5 S. 3 ff.). Weitere wichtige, im Zusam­men­hang mit der Ehe stehenden Gründe können sich auch daraus ergeben, dass der in der Schweiz lebende Ehepartner gestorben ist oder gemein­same Kinder vorhanden sind (vgl. Spescha, a.a.O., Art. 50 AuG N. 7 sowie Caroni, a.a.O., Art. 50 N. 23 f.). Auch die in Art. 31 Abs. 1 VZAE genannten, aber nicht erschöpfenden Kriterien können für die Beur­teilung eines sogenannten "nachehelichen Härtefalls" herangezogen werden (BGE 137 II 345 E. 3.2 S. 348 f. mit weiteren Hinweisen).</w:t>
      </w:r>
    </w:p>
    <w:p>
      <w:r>
        <w:rPr>
          <w:b/>
        </w:rPr>
        <w:t>E. 9</w:t>
      </w:r>
    </w:p>
    <w:p>
      <w:r>
        <w:t>Im Falle der Beschwerdeführerin fällt in Betracht, dass sie Mutter eines Kindes ist, welches in der Schweiz niederlassungsberechtigt ist. Aufgrund dessen macht sie geltend, gestützt auf Art. 13 der Bundesverfassung der schweizerischen Eidgenossenschaft vom 18. April 1999 (BV; SR 101) und Art. 8 der Konvention zum Schutze der Menschenrechte und Grundfreiheiten vom 4. November 1950 (EMRK, SR 0.101) einen Anspruch auf Verlängerung der Aufenthaltsbewilligung zu haben.</w:t>
      </w:r>
    </w:p>
    <w:p>
      <w:r>
        <w:rPr>
          <w:b/>
        </w:rPr>
        <w:t>E. 9.1</w:t>
      </w:r>
    </w:p>
    <w:p>
      <w:r>
        <w:t>Art. 8 Ziff. 1 EMRK und der inhaltlich im Wesentlichen übereinstimmende Art. 13 Abs. 1 BV gewährleisten das Recht auf Achtung des Privat- und Familienlebens. Hat ein Ausländer nahe Verwandte mit einem gefestigten Anwesenheitsrecht in der Schweiz und wird die zu ihnen bestehende intakte Beziehung tatsächlich gelebt, so kann Art. 8 Ziff.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S. 249 mit Hinweisen).</w:t>
      </w:r>
    </w:p>
    <w:p>
      <w:r>
        <w:rPr>
          <w:b/>
        </w:rPr>
        <w:t>E. 9.2</w:t>
      </w:r>
    </w:p>
    <w:p>
      <w:r>
        <w:t>Im Rahmen der Beurteilung des Eingriffscharakters einer staatlichen Massnahme und ihrer Rechtfertigung ist zu berücksichtigten, dass die Kon­ventionsgarantie des Art. 8 Ziff. 1 EMRK das Familienleben als sol­ches schützt und nicht die freie Wahl des Ortes, an dem es realisiert wer­den soll (BGE 130 II 281 E. 3.1 S. 285; BGE 126 II 335 E. 3a S. 342; je mit Hinweisen; vgl. Jens Meyer-Ladewig, Europäische Menschenrechtskon­vention, Handkom­mentar, 3. Aufl., Baden-Baden 2011, Rz. 68 zu Art. 8 mit Hinweisen). Muss deshalb eine ausländische Per­son, der eine ausländerrechtliche Bewilligung verweigert wurde, das Land verlassen, haben dies ihre Familienangehörigen grundsätzlich hinzu­nehmen, wenn es ihnen "ohne Schwierigkeiten" möglich ist, mit ihr aus­zureisen; eine Interessenabwägung nach Art. 8 Ziff. 2 EMRK erübrigt sich in diesem Fall bzw. es kann angenommen werden, dass im Falle der Zumutbarkeit der Ausreise das allgemeine öffentliche Interesse an ei­ner restriktiven Einwanderung im Rahmen der Interessenabwägung den Ausschlag gibt (vgl. dazu Urteil des Bundesgerichts 2C_769/2012 vom 22. Oktober 2012 E. 3.4 sowie Urteil des Bundesverwaltungsgerichts C-1220/2008 vom 4. August 2012 E. 5.4 mit Hinweisen). Anders verhält es sich, falls die Ausreise für die Familienangehörigen "nicht von vornherein ohne Weiteres zumutbar" erscheint. In diesem Fall ist immer eine Interes­senabwägung nach Art. 8 Ziff. 2 EMRK geboten, welche sämtlichen Umstän­den des Einzelfalls Rechnung trägt (vgl. BGE 137 I 247 E. 4.1.2).</w:t>
      </w:r>
    </w:p>
    <w:p>
      <w:r>
        <w:rPr>
          <w:b/>
        </w:rPr>
        <w:t>E. 9.3</w:t>
      </w:r>
    </w:p>
    <w:p>
      <w:r>
        <w:t>Bei Kindern im anpassungsfähigen Alter geht die Rechtspre­chung ver­mutungsweise davon aus, dass es ihnen zugemutet werden kann, den Eltern oder dem sorgeberechtig­ten Elternteil ins Ausland zu folgen, auch wenn der ausländerrechtli­chen Zulassung der letzteren lediglich die Durch­setzung der restrikti­ven Migrationspolitik entgegensteht. Bei einem Kleinkind ist dies - be­sondere Umstände vorbehalten - regelmässig der Fall. Dahinter steht die Überlegung, dass das Kind vorerst keine selbständi­gen Beziehungen zu seinem weiteren Umfeld, zu einem bestimm­ten Land hat, sondern solche während der ersten Lebensjahre aus­schliesslich durch Vermittlung der Eltern ent­stehen. In neueren Entschei­den hat das Bundesgericht diese Rechtsprechung mit Blick auf die Vorgaben des Übereinkommens vom 20. November 1989 über die Rechte des Kindes (KRK; SR 0.107) und namentlich die verfassungsrechtli­chen Gebote staatsbürgerrechtlicher Natur (vgl. Art. 24 und 25 Abs. 1 BV) bei Schweizer Kindern relativiert (BGE 136 I 285 ff.; BGE 135 I 153 ff.). Ist ein Kind, wie es vorliegend der Fall ist, im Be­sitz der Niederlassungsbewilligung, gilt die dargestellte Rechtsprechung grundsätzlich weiter (vgl. 137 I 247 E. 4.2.3). Diesfalls kann die Zumut­barkeit der Ausreise weiterhin für eine Bewilligungsverweigerung an den sorge- bzw. obhutsberechtigten Elternteil genügen.</w:t>
      </w:r>
    </w:p>
    <w:p>
      <w:r>
        <w:rPr>
          <w:b/>
        </w:rPr>
        <w:t>E. 9.4</w:t>
      </w:r>
    </w:p>
    <w:p>
      <w:r>
        <w:t>Die heute 13-jährige Tochter der Beschwerdeführerin lebt seit ihrer Geburt in der Schweiz und hat ihre gesamte bisherige schulische Ausbildung hierzulande absolviert. Laut Beurteilungsbericht Primarstufe vom 25. Juli 2011 ist sie eine durchschnittlich bis gute Schülerin und bekundet einzig im Fach Mathematik gewisse Schwierigkeiten. Dem Arztzeugnis vom 16. August 2009 ist sodann zu entnehmen, dass die Tochter im Jahre 2007 in psychotherapeutischer Behandlung war. Sie habe im Rahmen ihrer Somatisierungsproblematik bei psychischer Stresssituation mit einer deutlichen Gastritis reagiert. Insgesamt sei sie ein fröhliches, in der Schule und Nachbarschaft sehr gut integriertes Mädchen. Es gilt sodann hervorzuheben, dass das in der Schweiz geborene Mädchen der arabischen Sprache nicht mächtig ist und diese Barriere ein weiterer, die Integration in der Heimat erschwerender Umstand darstellt. Obwohl grundsätzlich davon auszugehen ist, dass ein gewisser Bezug zur Heimat besteht, nicht zuletzt auch aufgrund des familiären Umfelds, gilt doch zu beachten, dass das Mädchen nie in der Heimat seiner Mutter gelebt hat. Sodann erweist sich eine Ausreise nach Marokko angesichts der grossen kulturellen Unterschiede nicht ohne weiteres als zumutbar. Dies umso weniger, als sich ihr Vater, zu dem sie regelmässigen Kontakt pflegt (jedes zweite Wochenende, während der Ferien, sowie ab und zu unter der Woche am Abend) ebenfalls hierzulande aufhält und mittlerweilen ein bedeutende Stellung im Leben der 13-jährigen Tochter inne hat. Im Vordergrund steht hierbei die Frage der Verhältnismässigkeit. Denn, ist die Tochter der Beschwerdeführerin tatsächlich verpflichtet, in einem für sie beinahe völlig fremden Land zu leben, würde damit auch der persönlichen Kontakt zum Vater faktisch abgebrochen. Dies sowie der Verlust ihres sozialen Beziehungsnetzes könnte unter Umständen dazu führen, dass die Pflicht zur Ausreise eine eigentliche Entwurzelung darstellen würde (vgl. BGE 123 II 125 E. 4b mit Hinweisen). Dies nicht zuletzt auch aufgrund des Umstandes, dass das 13-jährige Mädchen bereits an der Schwelle zur Adoleszenz steht und damit die beziehungsmässige Ablösung von den Eltern sowie die Bildung eines eigenen unabhängigen Sozialnetzes begonnen hat. So dürfte sie sich zwischenzeitlich zu einem grossen Teil über ihre Umwelt definieren. Würde sie aus dieser herausgerissen, dürfte ihre positiv verlaufene Entwicklung zweifelsohne in Frage gestellt sein. Unter den gegebenen Umständen kann keine Rede davon sein, dass es Yasmin ohne Schwierigkeiten möglich wäre, der Beschwerdeführerin nach Marokko zu folgen. Eine umfassende Interessenabwägung nach Art. 8 Ziff. 2 EMRK ist daher unerlässlich.</w:t>
      </w:r>
    </w:p>
    <w:p>
      <w:r>
        <w:rPr>
          <w:b/>
        </w:rPr>
        <w:t>E. 10.1</w:t>
      </w:r>
    </w:p>
    <w:p>
      <w:r>
        <w:t>Kann U._______ nicht ohne Weiteres zugemutet werden, ihrer Mutter ins Ausland zu folgen, so reicht das allgemeine öffentliche Interesse an einer restriktiven Einwanderungspolitik für sich allein nicht aus, um im Rahmen der nach Art. 8 Ziff 2 EMRK geforderten Interessenabwägung einen Eingriff in die Garantie des Familienlebens zu rechtfertigen. Hierzu bedürfte es besonderer - namentlich ordnungs- und sicherheitspolitischer - Gründe, welche den weiteren Aufenthalt der Beschwerdeführerin als "unerwünscht" erscheinen liessen (vgl. Urteil des Bundesverwaltungsgerichts C-1220/2008 vom 4. August 2011 E. 5.7). Dabei muss die Verletzung der öffentlichen Sicherheit und Ordnung eine gewisse Schwere aufweisen, um das Recht des niedergelassenen Kindes zu überwiegen, mit dem sorgeberechtigten Elternteil in der Schweiz verbleiben zu dürfen (vgl. BGE 136 I 285 E. 5.2).</w:t>
      </w:r>
    </w:p>
    <w:p>
      <w:r>
        <w:rPr>
          <w:b/>
        </w:rPr>
        <w:t>E. 10.2</w:t>
      </w:r>
    </w:p>
    <w:p>
      <w:r>
        <w:t>Die Beschwerdeführerin lebt seit 14 Jahren rechtmässig, mit einer Aufenthaltsbewilligung in der Schweiz. Nach der Trennung von ihrem Ehemann im Jahre 2002 bis 2009 wurde sie mit Fürsorgeleistungen von Fr. 256'103.95 unterstützt. Auch später musste sie immer wieder Sozialleistungen bzw. Arbeitslosengelder in Anspruch nehmen. Dies liegt weit über dem nach bundesgerichtlicher Rechtsprechung als "erhebliche Fürsorgeleistungen" qualifizierten Betrag (vgl. BGE 119 Ib 1 E. 3.a-d). Gemäss Art. 51 Abs. 2 Bst. b i.V.m. Art. 43 und Art. 62 Bst. e AuG stellt die fortgesetzte und erhebliche Sozialhilfeabhängigkeit einen Widerrufsgrund dar. Hierbei gilt festzuhalten, dass das Vorliegen eines Widerrufsgrundes unabhängig von der Verschuldensfrage erfolgt (Urteil des Bundesgerichts 2C_74/2010 vom 10. Juni 2010 E. 3.4); die Unterstützungsbedürftigkeit dürfte nach dem Gesagten einer Aufenthaltsbewilligung entgegenstehen (vgl. Urteil des Bundesgerichts 2C_697/2008 vom 2. Juni 2009 E. 4.4 mit Hinweisen). Wie die Verletzung der öffentlichen Sicherheit und Ordnung, kann auch eine fortgesetzte und erhebliche Sozialhilfeabhängigkeit geeignet sein, die Zustimmung zur Aufenthaltsbewilligung zu verweigern (vgl. Urteil des Bundesgerichts 2C_843/2009 vom 14. Juni 2010 E. 3.2 mit Hinweisen). Das Bundesgericht hat in einem Entscheid betreffend Aufenthaltsbewilligung festgehalten, dass das öffentliche Interesse bei einer fortgesetzten und erheblichen Sozialhilfeabhängigkeit zu überwiegen vermag, wenn nicht damit zu rechnen ist, dass sich daran in absehbarer Zeit etwas ändern könnte (BGE 137 I 247 E. 5.2.5 mit Hinweisen; Urteil des Bundesgerichts 2C_697/2008 vom 2. Juni 2009 E. 4.4). Zunächst sind die persönlichen, mildernden Umstände der Beschwerdeführerin zu berücksichtigen. So wird nicht in Abrede gestellt, dass es als alleinerziehende Mutter in einem kulturell unterschiedlichen Land nicht einfach gewesen sein dürfte, sich zu Recht zu finden und überdies Integrationsleistungen an den Tag zu legen, um schnellst möglich Eingang in die Arbeitswelt zu finden, zumal sich stets auch die Frage der Kinderbetreuung stellte. Ebenfalls zu beachten gilt die Situation mit dem Kindsvater, welcher insbesondere in den ersten Jahren wiederholt versucht hat die Beschwerdeführerin in die Heimat zurückzuschicken und sich nicht gescheut hat, seinem Wunsch mittels physischer und psychischer Gewalt Nachdruck zu verleihen. Insgesamt sind diese Umstände zumindest teilweise geeignet, das öffentliche Interesse erheblich herabzusetzen. Im Weiteren hat sie im Laufe des Beschwerdeverfahrens nachweislich vermehrt Anstrengungen unternommen, sich von der finanziellen Abhängigkeit endgültig zu lösen. So trat sie am 1. Juni 2009 eine Vollzeitstelle als Service-Mitarbeiterin an und konnte sich so für einige Zeit von der Sozialhilfe ablösen. Nach Beendigung des Arbeitsverhältnisses war die Beschwerdeführerin zwischen August 2010 bis Februar 2011 wieder teilweise von der Sozialhilfe abhängig und bezog Arbeitslosengelder. Seit Herbst 2010 arbeitet sie jedoch als Aushilfe für die "H._______" und verdient während der Spielsaison durchschnittlich Fr. 275.- pro Monat. Ab Juli 2011 hat sie eine Anstellung von ungefähr 60% im Restaurant. Gemäss den eingereichten Lohnabrechnungen betrug ihr Verdienst im Monat Juli 2011 Fr. 1'212.45 ohne Kinderzulagen. Im August 2011 verdiente sie Fr. 2'643.30 ohne Kinderzulagen. Die aktuellen Unterlagen zeigen sodann, dass sie die Möglichkeit gehabt hätte, eine 100% Anstellung zu bekommen bzw. fortzuführen. Da aus ihren ausländerrechtlichen Dokumenten jedoch nicht hervorging, dass sie arbeiten durfte, wurde ihr diese verwehrt.</w:t>
      </w:r>
    </w:p>
    <w:p>
      <w:r>
        <w:rPr>
          <w:b/>
        </w:rPr>
        <w:t>E. 10.3</w:t>
      </w:r>
    </w:p>
    <w:p>
      <w:r>
        <w:t>Selbst wenn die Beschwerdeführerin noch nicht konstant und vollständig wirtschaftlich unabhängig ist, hat sie sich in neuerer Zeit nachweislich um wirtschaftliche Selbständigkeit bemüht. Es ist grundsätzlich davon auszugehen, dass sie diese Anstrengungen künftig beibehalten wird und es ihr nach Erhalt einer ordentlichen Aufenthaltsregelung leichter fallen wird, eine entsprechende Anstellung zu bekommen bzw. fest angestellt zu werden. Damit erreicht die über Jahre hinweg andauernde finanzielle Abhängigkeit der Beschwerdeführerin den geforderten Schweregrad nicht, weshalb ihr privates Interesse und dasjenige ihrer Tochter das öffentliche Interesse im Rahmen von Art. 8 Ziff. 2 EMRK zu überwiegen vermögen. Eine Wegweisung der Beschwerdeführerin verbunden mit der Pflicht ihrer Tochter, ihr ins Ausland zu folgen, stellt folglich einen Verstoss gegen Art. 8 Ziff. 1 EMRK bzw. Art. 13 Abs. 1 BV dar. Sollte sich die positive Prognose künftig dennoch nicht bestätigen, könnte zu einem späteren Zeitpunkt, im Rahmen einer neuen Interessenabwägung - wiederum unter angemessener Berücksichtigung der Interessen der Tochter - die Aufenthaltsbewilligung allenfalls widerrufen oder nicht mehr verlängert werden, wessen sich die Beschwerdeführerin bei der Gestaltung ihres weiteren Aufenthalts im Land bewusst sein muss.</w:t>
      </w:r>
    </w:p>
    <w:p>
      <w:r>
        <w:rPr>
          <w:b/>
        </w:rPr>
        <w:t>E. 11</w:t>
      </w:r>
    </w:p>
    <w:p>
      <w:r>
        <w:t>Aus den vorstehenden Erwägungen ergibt sich, dass die angefochtene Verfügung vor Art. 8 EMRK bzw. Art. 13 Abs. 1 BV nicht standhält. Sie ist demzufolge in Gutheissung der Beschwerde aufzuheben und der Verlängerung der kantonalen Aufenthaltsbewilligung ist die Zustimmung zu erteilen.</w:t>
      </w:r>
    </w:p>
    <w:p>
      <w:r>
        <w:rPr>
          <w:b/>
        </w:rPr>
        <w:t>E. 12</w:t>
      </w:r>
    </w:p>
    <w:p>
      <w:r>
        <w:t>Bei diesem Ausgang des Verfahrens sind der Beschwerdeführerin keine Kosten aufzuerlegen (Art. 63 Abs. 1 VwVG). Bei hinfällig gewordener unentgeltlicher Rechtspflege ist ihr gestützt auf Art. 64 VwVG i.V.m. Art. 7 ff. des Reglements vom 21. Februar 2008 über die Kosten und Entschädigungen vor dem Bundesverwaltungsgericht (VGKE, SR 173.320.2) zu Lasten der Vorinstanz eine angemessene Parteientschädigung auszurichten. Das Gericht setzt die Parteientschädigung und die Entschädigung für die amtlich bestellten Anwältinnen und Anwälte auf Grund der Kostennote fest (Art. 14 Abs. 2 VGKE). Eine solche wurde mit Datum vom 25. Januar 2012 eingereicht. Die Rechtsvertreterin stellt darin für Honorar und Auslagen eine Entschädigung von Fr. 7'020.80 (inkl. MwSt) in Rechnung. Sie weist einen Zeitaufwand von insgesamt 25 Stunden aus. In Berücksichtigung des Umfanges und der Notwendigkeit der Eingaben, der Schwierigkeit der Streitsache in rechtlicher und tatsächlicher Hinsicht sowie der aktenkundigen Bemühungen ist das Honorar nach Massgabe der einschlägigen Bestimmungen auf Fr. 5'000.- (inkl. Auslagen und Mehrwertsteuer), festzusetzen (vgl. Art. 65 Abs. 2 und 3 VwVG i.V.m. Art. 9, 10, 12 und 14 VGKE). Die Zugrundelegung eines geringeren Zeitaufwands als der in der Kostennote ausgewiesene rechtfertigt sich insbesondere angesichts des Umstandes, dass die Eingaben zu einem Teil Begründungen enthalten, welche den Streitgegenstand nicht tangieren und damit vorliegend nicht berücksichtigt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