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C-3821/2019 vom 1. September 2020</w:t>
      </w:r>
    </w:p>
    <w:p>
      <w:r>
        <w:t>Bundesverwaltungsgericht, 2020-09-01, DE</w:t>
      </w:r>
    </w:p>
    <w:p>
      <w:r>
        <w:rPr>
          <w:b/>
        </w:rPr>
        <w:t xml:space="preserve">Quelle: </w:t>
      </w:r>
      <w:r>
        <w:t>https://mcp.opencaselaw.ch/entscheid/bvger_C-3821_2019</w:t>
      </w:r>
    </w:p>
    <w:p>
      <w:r>
        <w:t>FR: TAF C-3821/2019 du 1 septembre 2020</w:t>
      </w:r>
    </w:p>
    <w:p>
      <w:r>
        <w:t>IT: TAF C-3821/2019 del 1 settembre 2020</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(Art. 59 ATSG [SR 830.1]). Die Beschwerde vom 18. Juli 2019 (Poststempel: 24. Juli 2019) ist rechtzeitig erfolgt (Art. 60 ATSG). Nachdem aus der Beschwerde der Wille der Beschwerdeführerin auf eine erneute Prüfung der Rentenberechnungsgrundlagen, insbesondere der massgeblichen Beitragsdauer, hervorgeht, genügt die Beschwerde auch in formeller Hinsicht den praxisgemässen Anforderungen, zumal an die Formerfordernisse von Laieneingaben in sprachlicher und formeller Hinsicht keine strengen Anforderungen gestellt werden (Moser/Beusch/Kneubühler, Prozessieren vor dem Bundesverwaltungsgericht, 2. Aufl. 2013, S. 119 f., Rz. 2.211; Art. 52 Abs. 1 VwVG). Die Prozessvoraussetzungen sind demnach allesamt erfüllt, so dass auf die Beschwerde einzutreten ist.</w:t>
      </w:r>
    </w:p>
    <w:p>
      <w:r>
        <w:rPr>
          <w:b/>
        </w:rPr>
        <w:t>E. 2.1</w:t>
      </w:r>
    </w:p>
    <w:p>
      <w:r>
        <w:t>Anfechtungsobjekt und damit Begrenzung des Streitgegenstandes des vorliegenden Beschwerdeverfahrens (vgl. BGE 131 V 164 E. 2.1) bildet der Einspracheentscheid vom 9. Juli 2019, mit welchem die SAK die Anrechnung zusätzlicher Beitragszeiten abgelehnt und mit Wirkung per 1. Oktober 2016 eine monatliche AHV-Rente von Fr. 129.- verfügt hat. Der Rentenbeginn ist im vorliegenden Beschwerdeverfahren nicht umstritten. Streitig und vom Bundesverwaltungsgericht zu prüfen ist demgegenüber, ob die Vorinstanz zu Recht die Anrechnung weiterer Beitragszeiten abgelehnt hat.</w:t>
      </w:r>
    </w:p>
    <w:p>
      <w:r>
        <w:rPr>
          <w:b/>
        </w:rPr>
        <w:t>E. 2.2</w:t>
      </w:r>
    </w:p>
    <w:p>
      <w:r>
        <w:t>Nach der Rechtsprechung stellt das Sozialversicherungsgericht bei der Beurteilung einer Streitsache in der Regel auf den bis zum Zeitpunkt des Erlasses der streitigen Verwaltungsverfügung (hier: Einspracheentscheid vom 9. Juli 2019) eingetretenen Sachverhalt ab (BGE 129 V 1 E. 1.2 mit Hinweis).</w:t>
      </w:r>
    </w:p>
    <w:p>
      <w:r>
        <w:rPr>
          <w:b/>
        </w:rPr>
        <w:t>E. 3</w:t>
      </w:r>
    </w:p>
    <w:p>
      <w:r>
        <w:t>Zunächst sind die anwendbaren gesetzlichen Bestimmungen und die von der Rechtsprechung entwickelten Grundsätze darzulegen.</w:t>
      </w:r>
    </w:p>
    <w:p>
      <w:r>
        <w:rPr>
          <w:b/>
        </w:rPr>
        <w:t>E. 3.1</w:t>
      </w:r>
    </w:p>
    <w:p>
      <w:r>
        <w:t>Die Beschwerdeführerin ist Schweizer Staatsangehörige. Aufgrund ihres Wohnsitzes in Grossbritannien besteht in räumlicher Hinsicht ein internationaler Sachverhalt mit Bezug zur EU, weshalb das am 1. Juni 2002 in Kraft getretene 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gelangen (vgl. dazu auch Rz. 1001 des Kreisschreibens über das Verfahren zur Leistungsfestsetzung in der AHV/IV/EL [KSBIL], in der ab 4. April 2016 geltenden Version).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BGE 130 V 51; vgl. Urteil des BVGer C-2706/2011 vom 26. Oktober 2011 E. 2.3).</w:t>
      </w:r>
    </w:p>
    <w:p>
      <w:r>
        <w:rPr>
          <w:b/>
        </w:rPr>
        <w:t>E. 3.2</w:t>
      </w:r>
    </w:p>
    <w:p>
      <w:r>
        <w:t>Die Beschwerdeführerin hat das für die Entstehung des Anspruchs auf eine Altersrente erforderliche Alter von 64 Jahren (vgl. Art. 21 Abs. 1 Bst. b AHVG) im September 2016 erreicht. Ihr Anspruch auf eine ordentliche Altersrente ist demnach am 1. Oktober 2016 entstanden (vgl. Art. 21 Abs. 1 Bst. b i.V.m. Abs. 2 AHVG). Massgebend sind somit grundsätzlich diejenigen Normen, welche zu diesem Zeitpunkt in Kraft standen (vgl. BGE 140 V 154 E. 7.1; 130 V 156 E. 5.2; BGE 117 V 121 E. 3 und E. 4.8 unten).</w:t>
      </w:r>
    </w:p>
    <w:p>
      <w:r>
        <w:rPr>
          <w:b/>
        </w:rPr>
        <w:t>E. 3.3</w:t>
      </w:r>
    </w:p>
    <w:p>
      <w:r>
        <w:t>Die ordentlichen Renten der AHV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 Bei unvollständiger Beitragsdauer (weniger als 43 Jahre für Frauen) besteht Anspruch auf eine Teilrente entsprechend dem gerundeten Verhältnis zwischen den vollen Beitragsjahren der versicherten Person und denjenigen ihres Jahrganges (Art. 29 Abs. 2 Bst. b AHVG; Art. 38 Abs. 2 AHVG; Marco Reichmuth, AHV-Renten, in: Recht der sozialen Sicherheit, Handbücher für die Anwaltspraxis, Band XI, 2014, S. 870 f. Rz. 24.90 f.; vgl. zur Abstufung der Teilrenten in Prozenten der Vollrente: Art. 52 Abs. 1 und Abs. 1bis AHVV sowie Rententabellen 2015 [AHV/IV] des Bundesamtes für Sozialversicherungen [BSV], Skalenwähler, S. 9 f., gültig ab 1. Januar 2015; &lt; www.bsv.admin.ch &gt; Publikationen &amp; Service &gt; Weisungen, Kreisschreiben etc. &gt; Vollzug Sozialversicherungen &gt; AHV &gt; Grundlagen AHV &gt; Weisungen Renten &gt; Rententabellen, abgerufen am: 19.08.2020; BGE 121 V 71 E. 1 S. 74; zum Stellenwert dieser Verwaltungsweisung vgl. BGE 140 V 314 E. 3.3 S. 317).</w:t>
      </w:r>
    </w:p>
    <w:p>
      <w:r>
        <w:rPr>
          <w:b/>
        </w:rPr>
        <w:t>E. 3.4</w:t>
      </w:r>
    </w:p>
    <w:p>
      <w:r>
        <w:t>Innerhalb der anwendbaren Rentenskala (Art. 52 AHVV)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vgl. dazu Art. 29bis Abs. 2 AHVG in Verbindung mit Art. 51bis Abs. 2 AHVV sowie Wegleitung über die Renten [RWL] in der Eidgenössischen Alters-, Hinterlassenen- und Invalidenversicherung, gültig ab 1. Januar 2003, Stand: 1. Januar 2018, Rz. 5305). Das durchschnittliche Jahreseinkommen wird alsdann ermittelt, indem die Summe der aufgewerteten Erwerbseinkommen und die Erziehungs- oder Betreuungsgutschriften durch die Anzahl der Beitragsjahre geteilt werden (Art. 30 Abs. 2 AHVG).</w:t>
      </w:r>
    </w:p>
    <w:p>
      <w:r>
        <w:rPr>
          <w:b/>
        </w:rPr>
        <w:t>E. 3.5</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Die Erziehungsgutschrift entspricht dem Betrag der dreifachen minimalen jährlichen Altersrente gemäss Art. 34 AHVG im Zeitpunkt der Entstehung des Rentenanspruchs (Art. 29sexies Abs. 2 AHVG). Im Jahr 2016 beläuft sich der Betrag der minimalen monatlichen Altersrente auf Fr. 1'175.- (Art. 3 Abs. 1 der Verordnung 15 über Anpassungen an die Lohn- und Preisentwicklung bei der AHV/IV/EO; SR 831.108) und die (ungeteilte) Erziehungsgutschrift mithin auf Fr. 42'300.- (3 x 12 x Fr. 1'175.-).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Rz. 5419 1/16). Erziehungsgutschriften werden immer für ganze Kalenderjahre angerechnet (vgl. Art. 52f Abs. 5 AHVV für Eltern, welche nicht während des ganzen Kalenderjahres versichert sind). Der Durchschnitt der Erziehungsgutschriften ergibt sich aus der Division der anrechenbaren Erziehungsgutschriften durch die für die Ermittlung des Durchschnitts aus Erwerbseinkommen massgebende Beitragsdauer (Rz. 5486 1/16 RWL).</w:t>
      </w:r>
    </w:p>
    <w:p>
      <w:r>
        <w:rPr>
          <w:b/>
        </w:rPr>
        <w:t>E. 3.6.1</w:t>
      </w:r>
    </w:p>
    <w:p>
      <w:r>
        <w:t>Die Beitragsdauer einer versicherten Person bestimmt sich in der Regel nach den Einträgen in ihren individuellen Konten (IK; Art. 30ter AHVG).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Kontoauszuges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fehlende Eintragungen im IK (BGE 117 V 261 E. 3a).</w:t>
      </w:r>
    </w:p>
    <w:p>
      <w:r>
        <w:rPr>
          <w:b/>
        </w:rPr>
        <w:t>E. 3.6.2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3. Aufl. 2016, S. 1353 f. Rz. 565 - 568).</w:t>
      </w:r>
    </w:p>
    <w:p>
      <w:r>
        <w:rPr>
          <w:b/>
        </w:rPr>
        <w:t>E. 3.6.3</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IK handelt es sich um eine (öffentliche) Urkunde (Ueli Kieser, ATSG-Kommentar, 3. Aufl. 2015, Art. 43 N. 21). Daraus folgt, dass die unangefochten gebliebenen IK-Auszüge und die darin enthaltenen IK-Eintragungen für die durch sie bezeugten Tatsachen den vollen Beweis erbringen, solange nicht die Unrichtigkeit ihres Inhaltes nachgewiesen ist (vgl. Art. 9 Abs. 1 ZGB).</w:t>
      </w:r>
    </w:p>
    <w:p>
      <w:r>
        <w:rPr>
          <w:b/>
        </w:rPr>
        <w:t>E. 4</w:t>
      </w:r>
    </w:p>
    <w:p>
      <w:r>
        <w:t>Vorliegend ist unbestritten, dass die Beschwerdeführerin per 1. Oktober 2016 Anspruch auf eine ordentliche AHV-Rente hat. Umstritten und nachfolgend zu prüfen ist demgegenüber, ob entsprechend der Argumentation der Beschwerdeführerin zusätzliche Beitragsjahre samt entsprechenden Einkommen berücksichtigt werden können.</w:t>
      </w:r>
    </w:p>
    <w:p>
      <w:r>
        <w:rPr>
          <w:b/>
        </w:rPr>
        <w:t>E. 4.1</w:t>
      </w:r>
    </w:p>
    <w:p>
      <w:r>
        <w:t>Die Beschwerdeführerin macht in ihrer Beschwerde geltend, sie habe auch in den Jahren 1971 bis 1979 in der Schweiz gearbeitet und von ihrem damaligen Einkommen seien mutmasslich auch AHV-Beiträge entrichtet worden. Folglich seien diese Beiträge bei der Rentenberechnung zusätzlich zu berücksichtigen, so dass sie Anspruch auf eine höhere AHV-Rente habe (BVGer act. 1 und BVGer act. 4 [Übersetzung]).</w:t>
      </w:r>
    </w:p>
    <w:p>
      <w:r>
        <w:rPr>
          <w:b/>
        </w:rPr>
        <w:t>E. 4.2</w:t>
      </w:r>
    </w:p>
    <w:p>
      <w:r>
        <w:t>Dagegen wendet die Vorinstanz in ihrer Vernehmlassung ein, die Beschwerdeführerin bringe weder neue Tatsache n vor noch lege sie neue Beweismittel ins Recht. Anhaltspunkte für eine Änderung der Entscheidgrundlagen lägen somit nicht vor. Dementsprechend halte sie an ihrem eingehend begründeten Entscheid fest (BVGer act. 5).</w:t>
      </w:r>
    </w:p>
    <w:p>
      <w:r>
        <w:rPr>
          <w:b/>
        </w:rPr>
        <w:t>E. 4.3</w:t>
      </w:r>
    </w:p>
    <w:p>
      <w:r>
        <w:t>Die Beschwerdeführerin hat im auch im Beschwerdeverfahren keine Beweismittel zu den Akten eingereicht. Die blosse Behauptung, sie habe während weiterer, im IK-Auszug nicht erfasster Jahre bei der früheren Arbeitgeberin in der Schweiz gearbeitet, genügt den Anforderungen an den zu erbringenden vollen Beweis bei Weitem nicht. Dies zumal die Beschwerdeführerin in keiner Weise begründet, geschweige denn rechtsgenüglich substanziiert darlegt und belegt, welche AHV-Einkommen sie in dieser Zeit in der Schweiz zusätzlich erzielt haben soll und wie hoch dementsprechend die nachträglich gutzuschreibenden Beiträge ausfallen würden. Ferner geht auch aus den Akten nicht hervor, dass die Beschwerdeführerin - neben den im IK erfassten Beitragszeiten und Einkommen - noch einen Anspruch auf weitere Gutschriften hätte. Die von der Beschwerdeführerin geltend gemachten Vorbringen vermögen daher an der Richtigkeit der IK-Auszüge nichts zu ändern, so dass hierauf abzustellen ist.</w:t>
      </w:r>
    </w:p>
    <w:p>
      <w:r>
        <w:rPr>
          <w:b/>
        </w:rPr>
        <w:t>E. 4.4</w:t>
      </w:r>
    </w:p>
    <w:p>
      <w:r>
        <w:t>Eine summarische Prüfung der Berechnungsgrundlagen ergibt schliesslich, dass auch diese nicht zu beanstanden sind. So hat die Vorinstanz zu Recht die Rentenskala 3 angewendet (vgl. dazu act. 26, S. 4; Rententabellen 2015, Skalenwähler, S. 10), da der Beschwerdeführerin 2 volle Versicherungsjahre angerechnet werden können. Dass die im individuellen Konto festgehaltenen Einkommensbeträge unrichtig erfasst worden sein sollen, macht die Beschwerdeführerin nicht geltend und ist auch nicht ersichtlich. Die Summe der während der 2jährigen Beitragszeit gutgeschriebenen AHV-Löhne beläuft sich auf Fr. 16'017.- (= Fr. 9'867.- + Fr. 6'150.-; act. 11 [IK-Auszug]). Für die Ermittlung des Aufwertungsfaktors hat die SAK zu Recht auf das Kalenderjahr des ersten IK-Eintrages im Jahr 1980 abgestellt (vgl. dazu Art.10 Abs. 1 AHVG, Art. 51bis AHVV; vgl. dazu auch Urteil des EVG H 49/05 vom 1. Dezember 2005) und auf diese Weise den Faktor korrekt auf 1.056 festgelegt (act. 26, S. 5; vgl. Rententabellen 2015, S. 15). Daraus ergibt sich ein zutreffendes aufgewertetes Gesamteinkommen von Fr. 16'914.- (= Fr. 16'017.- x 1.056) und unter Berücksichtigung einer Beitragsdauer von 2 Jahren ein massgebendes durchschnittliches Einkommen von Fr. 8'457.- (= Fr. 16'914.- : 24 x 12). Unter Berücksichtigung der 2 Erziehungsjahre hat die SAK für die 2jährige Beitragsdauer einen korrekten Durchschnittswert in der Höhe von Fr. 42'300.- (= Fr. 42'300.- x 2 : 24 x 12) errechnet. Daraus resultiert ein massgebendes durchschnittliches Jahreseinkommen von Fr. 50'757.- (= Fr. 26'234.- + Fr. 12'506.-). Aufgerundet auf den nächst höheren Tabellenwert der Rentenskala 3 in der Höhe von Fr. 50''760.- (vgl. Rententabellen 2015, S. 100) resultiert demnach ein Betrag von Fr. 129.-.</w:t>
      </w:r>
    </w:p>
    <w:p>
      <w:r>
        <w:rPr>
          <w:b/>
        </w:rPr>
        <w:t>E. 5</w:t>
      </w:r>
    </w:p>
    <w:p>
      <w:r>
        <w:t>Zusammengefasst steht nach dem Gesagten fest, dass die Beschwerdeführerin den ihr obliegenden Beweis für die Unrichtigkeit respektive Unvollständigkeit des IK-Auszuges nicht hat erbringen können, da sie weder im vorinstanzlichen noch im vorliegenden Beschwerdeverfahren entsprechende Beweismittel eingereicht oder bezeichnet hat. Darüber hinaus haben auch die von der SAK im Zuge des Einspracheverfahrens noch durchgeführten ergänzenden Abklärungen keinerlei Hinweise für die Unrichtigkeit der Eintragungen im individuellen Konto ergeben. Die summarische Prüfung der Rentenberechnung hat schliesslich ergeben, dass die monatliche AHV-Rente korrekt ermittelt worden und folglich nicht zu beanstanden ist. Die Beschwerde erweist sich somit als offensichtlich unbegründet und ist deshalb im einzelrichterlichen Verfahren nach Art. 23 Abs. 2 VGG i.V.m. Art. 85bis Abs. 3 AHVG abzuweisen und der angefochtene Einspracheentscheid vom 8. Juli 2019 ist zu bestätigen.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