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C-3821/2008 vom 9. Dezember 2009</w:t>
      </w:r>
    </w:p>
    <w:p>
      <w:r>
        <w:t>Bundesverwaltungsgericht, 2009-12-09, FR</w:t>
      </w:r>
    </w:p>
    <w:p>
      <w:r>
        <w:rPr>
          <w:b/>
        </w:rPr>
        <w:t xml:space="preserve">Quelle: </w:t>
      </w:r>
      <w:r>
        <w:t>https://mcp.opencaselaw.ch/entscheid/bvger_C-3821_2008</w:t>
      </w:r>
    </w:p>
    <w:p>
      <w:r>
        <w:t>FR: TAF C-3821/2008 du 9 décembre 2009</w:t>
      </w:r>
    </w:p>
    <w:p>
      <w:r>
        <w:t>IT: TAF C-3821/2008 del 9 dicembre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Il a, de plus, un intérêt digne de protection à ce qu'elle soit annulée ou modifiée (art. 59 LPGA) lors même que l'administration a renoncé au recouvrement de la somme litigieuse, dans la mesure où l'OAIE s'est - dans sa décision du 23 avril 2008 - expressément réservé le droit d'y procéder en cas de retour à meilleure fortune. Le recourant dispose donc de la qualité pour recourir.</w:t>
      </w:r>
    </w:p>
    <w:p>
      <w:r>
        <w:rPr>
          <w:b/>
        </w:rPr>
        <w:t>E. 2.3</w:t>
      </w:r>
    </w:p>
    <w:p>
      <w:r>
        <w:t>Dans la mesure, en outre, où le recours a été introduit dans le délai et la forme prescrits (art. 60 LPGA et 52 PA),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droit aux prestations de l'assurance-invalidité suisse est déterminé exclusivement d'après le droit suisse (art. 40 par. 4 du règlement 1408/71).</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la présente espèce s'examine pour la période s'étendant jusqu'au 31 décembre 2007 à la lumière des anciennes normes et, à partir de ce moment-là, des nouvelles.</w:t>
      </w:r>
    </w:p>
    <w:p>
      <w:r>
        <w:rPr>
          <w:b/>
        </w:rPr>
        <w:t>E. 5</w:t>
      </w:r>
    </w:p>
    <w:p>
      <w:r>
        <w:t>Il est utile de rappeler qu'aux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Un assuré a droit à un quart de rente s'il est invalide à 40% au moins, à une demi-rente s'il est invalide à 50%, à trois-quarts de rente s'il est invalide à 60% et à une rente entière s'il est invalide à 70% au moins (art. 28 al. 1 LAI [art. 28 al. 2 LAI dès le 1er janvier 2008]).</w:t>
      </w:r>
    </w:p>
    <w:p>
      <w:r>
        <w:rPr>
          <w:b/>
        </w:rPr>
        <w:t>E. 6.1</w:t>
      </w:r>
    </w:p>
    <w:p>
      <w:r>
        <w:t>Si l'assuré subit une mesure ou une peine privative de liberté, le paiement des prestations pour perte de gain peut être partiellement ou totalement suspendu à l'exception des prestations destinées à l'entretien des proches (art. 21 al. 5 LPGA). Par "prestations pour perte de gain" on entend, entre autres, les rentes AI (UELI KIESER, ATSG-Kommentar, éd. Schulthess, Zurich Bâle Genève 2003, ad. art. 21 n. 80).</w:t>
      </w:r>
    </w:p>
    <w:p>
      <w:r>
        <w:rPr>
          <w:b/>
        </w:rPr>
        <w:t>E. 6.2</w:t>
      </w:r>
    </w:p>
    <w:p>
      <w:r>
        <w:t>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(art. 25 al. 3 LPGA).</w:t>
      </w:r>
    </w:p>
    <w:p>
      <w:r>
        <w:rPr>
          <w:b/>
        </w:rPr>
        <w:t>E. 6.3</w:t>
      </w:r>
    </w:p>
    <w:p>
      <w:r>
        <w:t>En l'espèce, par décision du 25 août 1988, la Caisse de compensation du canton de Saint-Gall a octroyé au recourant une rente entière avec effet rétroactif au 1er décembre 1986 (pce 11). Ce dernier doit subir une peine privative de liberté du 18 janvier 2004 au 20 juillet 2010 (pce 119). L'OAIE, par décision du 6 décembre 2007, en application de l'art. 21 al. 5 LPGA, a dès lors décidé de suspendre le versement de la rente AI pour la durée de sa détention et ainsi requis la restitution des prestations indûment perçues jusqu'au 31 mai 2007, à savoir de Fr. 67'433.- (pce 125). La décision du 6 décembre 2007 n'a pas été contestée par le recourant (cf. pces 125 ss). Elle est, partant, entrée en force de chose jugée. L'obligation de restituer les Fr. 67'433.- ne peut donc, comme telle, plus être contestée dans le cadre de la présente procédure. Seul est litigieux le refus de la demande de remise déposée le 29 janvier 2008.</w:t>
      </w:r>
    </w:p>
    <w:p>
      <w:r>
        <w:rPr>
          <w:b/>
        </w:rPr>
        <w:t>E. 7.1</w:t>
      </w:r>
    </w:p>
    <w:p>
      <w:r>
        <w:t>Les deux conditions de la remise, prévues à l'art. 25 al. 1 seconde phrase LPGA, sont cumulatives. Selon la jurisprudence, l'obligation de restituer suppose que soient remplies les conditions d'une reconsidération ou d'une révision procédurale de la décision initiale d'octroi des prestations (art. 53 al. 1 et 2 LPGA; ATF 130 V 318 consid. 5.2, 380 consid. 2.3.1).</w:t>
      </w:r>
    </w:p>
    <w:p>
      <w:r>
        <w:rPr>
          <w:b/>
        </w:rPr>
        <w:t>E. 7.2</w:t>
      </w:r>
    </w:p>
    <w:p>
      <w:r>
        <w:t>Le recourant a pour l'essentiel fait valoir qu'il ignorait que le versement de sa rente pouvait être suspendu durant sa détention et qu'il devait informer l'administration de celle-ci. Il a dès lors conclu à l'annulation de la décision entreprise et à la remise totale de la somme à restituer. L'autorité inférieure, dans la décision querellée et sa réponse du 11 août 2008, a avancé que le recourant ne pouvait ignorer son devoir d'aviser, considéré qu'il ne pouvait se prévaloir de sa bonne foi et ainsi conclu au rejet du recours.</w:t>
      </w:r>
    </w:p>
    <w:p>
      <w:r>
        <w:rPr>
          <w:b/>
        </w:rPr>
        <w:t>E. 7.3</w:t>
      </w:r>
    </w:p>
    <w:p>
      <w:r>
        <w:t>En l'espèce, la seconde condition de l'art. 25 al. 1 seconde phrase (situation difficile) paraît remplie au vu du dossier, l'autorité inférieure ayant elle-même momentanément renoncé au recouvrement de la somme litigieuse eu égard à la situation économique de l'intéressé (pce 135). Reste dès lors à examiner si le recourant remplit également la première condition de l'art. 25 al. 1 seconde phrase (bonne foi). L'art. 77 du règlement du 17 janvier 1961 sur l'assurance-invalidité (RAI, RS 831.201) prescrit à tout ayant droit ou son représentant légal, ainsi qu'à toute personne ou autorité à qui la prestation est payée, de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Le Tribunal de céans constate à cet égard que l'administration a à plusieurs reprises attiré l'attention du recourant sur son obligation d'aviser (pces 10, 20, 23 s., 33, 68.1, 92 et 101.1). Les textes envoyés au recourant reprennent le contenu de l'art. 77 RAI et sont rédigés dans un langage simple et univoque. Ils intiment en substance aux assurés d'annoncer toute modification de leur situation personnelle, notamment un changement affectant l'état civil, un changement de domicile ou une modification de revenu. L'administration a par ailleurs envoyé deux fois ce texte en espagnol au recourant (pces 68.1 et 101.1). En ces circonstances, celui-ci ne saurait valablement se prévaloir de sa méconnaissance du droit suisse, de la faiblesse de son niveau d'instruction, de la pauvreté de son vocabulaire, du fait qu'il souffre d'éthylisme et d'affections psychiques chroniques ou encore du fait que beaucoup de temps s'est écoulé entre l'octroi de la rente et son incarcération. Une détention de plus de six ans, eu égard notamment à son impact sur la situation financière de l'assuré, constitue à n'en pas douter une modification importante des circonstances personnelles d'une personne devant en tous les cas être annoncée (cf. ATF 110 V 290 consid. 4b; arrêt I 622/2005 du 14 août 2006 du Tribunal fédéral des assurances, consid. 4.4). Le recourant a donc gravement violé son devoir d'informer et ne remplit ainsi pas la condition de la bonne foi. Le recours du 29 mai 2008 doit, partant, être rejeté et la décision du 23 avril 2008 de l'OAIE confirmée. Le présent litige peut être tranché par le juge unique en application de l'art. 85bis al. 3 de la loi fédérale sur l'assurance-vieillesse et survivants (LAVS, RS 831.10), auquel renvoie l'art. 69 al. 2 LAI.</w:t>
      </w:r>
    </w:p>
    <w:p>
      <w:r>
        <w:rPr>
          <w:b/>
        </w:rPr>
        <w:t>E. 8</w:t>
      </w:r>
    </w:p>
    <w:p>
      <w:r>
        <w:t>Il n'est pas perçu de frais de procédure, ni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