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C-380/2006 vom 21. November 2008</w:t>
      </w:r>
    </w:p>
    <w:p>
      <w:r>
        <w:t>Bundesverwaltungsgericht, 2008-11-21, FR</w:t>
      </w:r>
    </w:p>
    <w:p>
      <w:r>
        <w:rPr>
          <w:b/>
        </w:rPr>
        <w:t xml:space="preserve">Quelle: </w:t>
      </w:r>
      <w:r>
        <w:t>https://mcp.opencaselaw.ch/entscheid/bvger_C-380_2006</w:t>
      </w:r>
    </w:p>
    <w:p>
      <w:r>
        <w:t>FR: TAF C-380/2006 du 21 novembre 2008</w:t>
      </w:r>
    </w:p>
    <w:p>
      <w:r>
        <w:t>IT: TAF C-380/2006 del 21 novembre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aux art. 33 et 34 LTAF. 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applicable mutatis mutandis aux exceptions aux nombres maximums).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 que l'ordonnance du 6 octobre 1986 limitant le nombre des étrangers (OLE de 1986, RO 1986 1791; cf. 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la procédure relative aux demandes déposées avant l'entrée en vigueur de la LEtr, le 1er janvier 2008, est régie par le nouveau droit (art. 126 al. 2 LEtr). A moins que la LTAF n'en dispose autrement, la procédure devant le TAF est régie par la PA (art. 37 LTAF). X._______ a qualité pour recourir (art. 48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considérant 1.2 supra (cf. arrêt du Tribunal fédéral 2A.451/2002 du 28 mars 2003 consid. 1.2 partiellement publié in ATF 129 II 215).</w:t>
      </w:r>
    </w:p>
    <w:p>
      <w:r>
        <w:rPr>
          <w:b/>
        </w:rPr>
        <w:t>E. 3</w:t>
      </w:r>
    </w:p>
    <w:p>
      <w:r>
        <w:t>A titre préliminaire, il convient de relever que le TAF ne peut examiner que les rapports de droit sur lesquels l'autorité administrative compétente s'est prononcée sur la forme d'une décision, laquelle détermine l'objet de la contestation (cf. ATF 130 V 138 consid. 2.1, 123 II 125 consid. 2, 122 II 186 consid. 1b; ANDRÉ GRISEL, Traité de droit administratif, Neuchâtel, 1984, tome II, p. 933; FRITZ GYGI, Verwaltungsrecht, Berne, 1986, p. 123 et ss). Dans la mesure où l'examen du recours administratif se limite à la question de savoir si l'intéressé peut bénéficier d'une exception aux nombres maximums en vertu de l'art. 13 let. f OLE, la conclusion tendant à l'octroi d'un permis de séjour en sa faveur est irrecevable.</w:t>
      </w:r>
    </w:p>
    <w:p>
      <w:r>
        <w:rPr>
          <w:b/>
        </w:rPr>
        <w:t>E. 4.1</w:t>
      </w:r>
    </w:p>
    <w:p>
      <w:r>
        <w:t>Selon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 SPOP dans sa décision du 27 février 2006 s'agissant de l'exemption du recourant des nombres maximums fixés par le Conseil fédéral.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ATF 119 Ib 33 consid. 3a p. 39, traduit en français dans Journal des Tribunaux [JdT] 1995 I 226 consid. 3a p. 230;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5.1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5.2</w:t>
      </w:r>
    </w:p>
    <w:p>
      <w:r>
        <w:t>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4.2 p. 589/590, jurisprudence et doctrine citées).</w:t>
      </w:r>
    </w:p>
    <w:p>
      <w:r>
        <w:rPr>
          <w:b/>
        </w:rPr>
        <w:t>E. 5.3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ALAIN WURZBURGER, La jurisprudence récente du Tribunal fédéral en matière de police des étrangers, Revue de droit administratif et fiscal [RDAF] I 1997 p. 267ss).</w:t>
      </w:r>
    </w:p>
    <w:p>
      <w:r>
        <w:rPr>
          <w:b/>
        </w:rPr>
        <w:t>E. 5.4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196/197).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w:t>
      </w:r>
    </w:p>
    <w:p>
      <w:r>
        <w:rPr>
          <w:b/>
        </w:rPr>
        <w:t>E. 6.1</w:t>
      </w:r>
    </w:p>
    <w:p>
      <w:r>
        <w:t>Dans son mémoire de recours, l'intéressé fait brièvement référence à la Circulaire du 21 décembre 2001 concernant la réglementation du séjour des étrangers dans les cas personnels d'extrême gravité (la Circulaire "Metzler").</w:t>
      </w:r>
    </w:p>
    <w:p>
      <w:r>
        <w:rPr>
          <w:b/>
        </w:rPr>
        <w:t>E. 6.2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(cf. arrêt du Tribunal fédéral 2A.199/2006 du 2 août 2006 consid. 3.1).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6.3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Il faut en déduire que si la Circulaire énonce les éléments dont les autorités doivent tenir compte dans l'appréciation des cas personnels d'extrême gravité, elle ne saurait pour autant s'écarter de la jurisprudence développée en relation avec l'art. 13 let. f OLE. Chaque situation doit ainsi être examinée pour elle-même en prenant en considération les critères habituels du cas de rigueur.</w:t>
      </w:r>
    </w:p>
    <w:p>
      <w:r>
        <w:rPr>
          <w:b/>
        </w:rPr>
        <w:t>E. 7</w:t>
      </w:r>
    </w:p>
    <w:p>
      <w:r>
        <w:t>En l'espèce, X._______ est entré en Suisse fin septembre 1991, dans le but de rendre visite à son frère durant un mois. A cette époque, il n'a pas allégué avoir déserté l'armée bosniaque et n'a pas déposé de demande d'asile. Toutefois, vu la détérioration rapide de la situation en Bosnie-Herzégovine, un permis L lui a été octroyé à partir du 28 janvier 1992. Ce permis a été renouvelé jusqu'au 30 avril 1997. Le 11 avril 1997, X._______ a annoncé son départ définitif vers la Croatie. Le prénommé a ainsi effectué un premier séjour légal de cinq ans et demi sur territoire suisse. Le Tribunal doit cependant relever qu'au cours de cette période, l'intéressé n'a été autorisé à séjourner en Suisse que sous le couvert d'une autorisation de courte durée, laquelle était nécessairement limitée dans le temps. Son titre de séjour a en effet été prolongé dans le cadre d'une action des autorités helvétiques destinée à éviter au recourant de devoir retourner dans un pays en guerre. Aussi, bien que X._______ ait pu demeurer légalement en Suisse durant plus de cinq ans, il ne pouvait ignorer que sa présence dans ce pays était provisoire et qu'il serait appelé à regagner son pays d'origine une fois la situation en Bosnie-Herzégovine stabilisée. C'est pour cette raison qu'un délai de départ lui a finalement été imparti au 30 avril 1997. Il est peu clair de savoir si le recourant a respecté cette échéance ou non. Il s'est en effet contredit sur ce point, affirmant d'un côté ne jamais avoir quitté le territoire helvétique (cf. demande de régularisation du 17 février 2005 et écrit du 2 octobre 2006) et, de l'autre, s'être rendu pour six mois en Croatie (cf. curriculum vitae du 15 juin 2005). Il est néanmoins constant que X._______ est passé dans la clandestinité courant 1997 et qu'il a repris un emploi illégal dans la restauration en décembre 1997. Il a ensuite séjourné et travaillé sans autorisation, et ce jusqu'en février 2005, époque où il a sollicité la régularisation de ses conditions de séjour. Cela étant, le Tribunal retiendra que sa présence dans ce pays s'est composée d'un séjour temporaire, dont il a bénéficié en raison des événements tragiques qui ont frappé l'ex-Yougoslavie, d'un long séjour de nature illégale, lequel n'est pas déterminant lors de l'examen d'un cas de rigueur, et d'une tolérance cantonale depuis le dépôt de sa demande de régularisation du 17 février 2005 (cf. ATAF 2007/16 consid. 5.4 p. 196/197 et consid. 7 p. 198). Aussi, en dépit d'un nombre important d'années passées en Suisse (entre 16 et 17 ans au total), le TAF ne saurait voir dans la seule durée de son séjour un élément constitutif d'un cas personnel d'extrême gravité. A noter, dans ce contexte, que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w:t>
      </w:r>
    </w:p>
    <w:p>
      <w:r>
        <w:rPr>
          <w:b/>
        </w:rPr>
        <w:t>E. 8.1</w:t>
      </w:r>
    </w:p>
    <w:p>
      <w:r>
        <w:t>Il faut dès lors examiner les critères d'évaluation qui, autres que la durée du séjour en Suisse, pourraient rendre le retour du recourant dans son pays d'origine particulièrement ardu.</w:t>
      </w:r>
    </w:p>
    <w:p>
      <w:r>
        <w:rPr>
          <w:b/>
        </w:rPr>
        <w:t>E. 9</w:t>
      </w:r>
    </w:p>
    <w:p>
      <w:r>
        <w:t>En l'occurrence, le Tribunal n'ignore pas qu'après un séjour de longue durée en Suisse, X._______ s'est créé des attaches avec ce pays, où, hormis ses infractions aux prescriptions de police des étrangers, son comportement n'a pas donné lieu à des plaintes. Son intégration n'est toutefois pas encore si poussée ou exceptionnelle qu'elle le placerait dans une situation d'extrême rigueur en cas de départ pour son pays d'origine. En effet, son réseau social en Suisse n'apparaît pas particulièrement développé et il ne ressort pas des pièces du dossier qu'il aurait fait preuve d'un investissement remarquable dans la vie associative de sa région. Certes, X._______ expose qu'il s'est lié d'amitié avec des personnes qu'il a eu l'occasion de côtoyer dans le cadre de son activité professionnelle. Toutefois, il s'agit là de liens que la majeure partie des personnes exerçant un emploi développe naturellement et qui ne sauraient être déterminants, en tant que tels, lors de l'évaluation d'un cas de rigueur. D'un point de vue professionnel, X._______ a été, pour l'essentiel, employé comme garçon de cuisine. Cette activité lui a permis d'être autonome financièrement. Après avoir exercé depuis 1997 dans le même établissement, il a récemment trouvé un emploi à Z._______. Reste que le recourant n'a pas connu d'ascension professionnelle au cours de son séjour en Suisse et qu'il n'a pas acquis de compétences pointues ou un savoir-faire qu'il ne pourrait mettre en pratique dans son pays d'origine. Au contraire, il peut tirer pleinement parti de l'expérience acquise dans la restauration, où il est considéré comme un employé qualifié, dans l'optique d'une réinsertion professionnelle en Croatie. A cet égard, le Tribunal est conscient que le recourant a vécu en Bosnie-Herzégovie avant son départ pour la Suisse. Ses affinités avec la Croatie sont donc forcément moindres que celles qu'il a connues avec le pays qui l'a vu grandir. Le Tribunal remarquera pourtant que X._______ a été, de 1996 à 1998, titulaire d'un passeport bosniaque avant d'être mis en possession d'un passeport croate. L'intéressé semble ainsi avoir privilégié cette dernière nationalité, de sorte qu'il se doit aussi d'assumer les conséquences d'un retour dans ce pays. Il est probable qu'un départ de Suisse pour la Croatie nécessitera du recourant un effort d'adaptation supérieur à la moyenne. Le Tribunal est toutefois d'avis qu'il peut encore raisonnablement l'exiger de la part d'un homme célibataire âgé de 37 ans et en bonne santé, sans que cela ne soit constitutif d'une situation d'extrême rigueur. Au demeurant la Croatie ne lui est pas étrangère. Du temps de la Yougoslavie, il a vécu dans une zone frontalière à la partie croate et, à l'heure actuelle, il s'y rend régulièrement pour voir ses parents, qui y ont trouvé refuge suite à la guerre des Balkans. Dès lors, il peut encore compter sur certaines attaches familiales avec ce pays, même si la plupart de ses frères et soeurs sont désormais établis en Suisse. En conséquence, les liens qui unissent le recourant avec ce pays ne sont pas si profonds et durables qu'un départ de Suisse serait assimilable à un véritable déracinement.</w:t>
      </w:r>
    </w:p>
    <w:p>
      <w:r>
        <w:rPr>
          <w:b/>
        </w:rPr>
        <w:t>E. 10</w:t>
      </w:r>
    </w:p>
    <w:p>
      <w:r>
        <w:t>A n'en pas douter, le retour d'un étranger dans sa patrie après un séjour de longue durée en Suisse n'est pas exempt de difficultés. Il convient toutefois de préciser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Au vu des éléments qui précèdent, le Tribunal arrive à la conclusion que X._______ ne se trouve pas dans un cas personnel d'extrême gravité au sens de l'art. 13 let. f OLE. Aussi, c'est à bon droit que l'autorité inférieure a considéré qu'il ne satisfaisait pas aux exigences de cette disposition.</w:t>
      </w:r>
    </w:p>
    <w:p>
      <w:r>
        <w:rPr>
          <w:b/>
        </w:rPr>
        <w:t>E. 11</w:t>
      </w:r>
    </w:p>
    <w:p>
      <w:r>
        <w:t>Par sa décision du 12 juin 2006, l'autorité de première instance n'a donc ni violé le droit fédéral, ni constaté des faits pertinents de manière inexacte ou incomplète; en outre, cette décision n'est pas inopportune (art. 49 PA). Le recours doit dès lors être rejeté.</w:t>
      </w:r>
    </w:p>
    <w:p>
      <w:r>
        <w:rPr>
          <w:b/>
        </w:rPr>
        <w:t>E. 12</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