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C-3807/2007 vom 28. November 2008</w:t>
      </w:r>
    </w:p>
    <w:p>
      <w:r>
        <w:t>Bundesverwaltungsgericht, 2008-11-28, FR</w:t>
      </w:r>
    </w:p>
    <w:p>
      <w:r>
        <w:rPr>
          <w:b/>
        </w:rPr>
        <w:t xml:space="preserve">Quelle: </w:t>
      </w:r>
      <w:r>
        <w:t>https://mcp.opencaselaw.ch/entscheid/bvger_C-3807_2007</w:t>
      </w:r>
    </w:p>
    <w:p>
      <w:r>
        <w:t>FR: TAF C-3807/2007 du 28 novembre 2008</w:t>
      </w:r>
    </w:p>
    <w:p>
      <w:r>
        <w:t>IT: TAF C-3807/2007 del 28 novembre 2008</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3.2</w:t>
      </w:r>
    </w:p>
    <w:p>
      <w:r>
        <w:t>Le recourant est particulièrement touché par la décision attaquée et a un intérêt digne de protection à ce qu'elle soit annulée ou modifiée (art. 59 LPGA). Il a, partant, qualité pour recourir.</w:t>
      </w:r>
    </w:p>
    <w:p>
      <w:r>
        <w:rPr>
          <w:b/>
        </w:rPr>
        <w:t>E. 3.3</w:t>
      </w:r>
    </w:p>
    <w:p>
      <w:r>
        <w:t>Dans la mesure où le recours a été introduit dans le délai et la forme prescrits (art. 60 LPGA et 52 PA), l'avance de frais versée dans les délais, il est entré en matière sur le fond du recours.</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Le recourant a présenté sa dernière demande de rente le 7 janvier 1999.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7 janvier 1998 (12 mois avant le dépôt de la demande) ou si le droit à une rente était né entre cette date et le 10 mai 2007, date de la décision attaquée marquant la limite dans le temps du pouvoir d'examen de l'autorité de recours (ATF 130 V 445 consid. 1.2 et 1.2.1).</w:t>
      </w:r>
    </w:p>
    <w:p>
      <w:r>
        <w:rPr>
          <w:b/>
        </w:rPr>
        <w:t>E. 6.1</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w:t>
      </w:r>
    </w:p>
    <w:p>
      <w:r>
        <w:rPr>
          <w:b/>
        </w:rPr>
        <w:t>E. 6.2</w:t>
      </w:r>
    </w:p>
    <w:p>
      <w:r>
        <w:t>En l'occurrence, le recourant a versé des cotisations à l'AVS/AI pendant plus d'une année au total et remplit, partant, la condition de la durée minimale de cotisations. Il reste dès lors à examiner si 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8</w:t>
      </w:r>
    </w:p>
    <w:p>
      <w:r>
        <w:t>Le recourant a travaillé en Suisse par intermittence à compter de 1975. Il est retourné dans son pays d'origine en 1992 et a cessé de travailler le 1er novembre 1998. L'assuré n'a, depuis, plus repris d'activité rémunérée.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principalement d'un syndrome anxio-dépressif et d'éthylisme.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10.2</w:t>
      </w:r>
    </w:p>
    <w:p>
      <w:r>
        <w:t>Il est à relever que la jurisprudence considère que la toxicomanie ou la dépendance à l'alcool ne sauraient justifier d'emblée la reconnaissance d'une invalidité. L'atteinte pathologique (physique ou psychique) doit au contraire être telle qu'elle entraîne effectivement une diminution de la capacité de gain (SVR 2001, IV, n. 3 = Pratique VSI 2001, p. 223; 2002, p. 30).</w:t>
      </w:r>
    </w:p>
    <w:p>
      <w:r>
        <w:rPr>
          <w:b/>
        </w:rPr>
        <w:t>E. 11.1</w:t>
      </w:r>
    </w:p>
    <w:p>
      <w:r>
        <w:t>En l'occurrence, l'OAIE a d'abord fondé la décision litigieuse sur la prise de position du 8 mars 2007 du Dr Paripovic du SMR (pce 109), qui reconnaissait au recourant une pleine capacité de travail dans toute activité. L'Office a ainsi considéré que les conditions pour l'octroi d'une rente d'invalidité n'étaient pas réunies (cf. pce 114). Ensuite de la réception de la réplique du 18 mars 2008 du recourant et de la documentation médicale qu'il y a jointe, l'OAIE a sollicité une nouvelle prise de position dudit service. Celui-ci, en la personne du Dr Paripovic, a estimé que le recourant était totalement incapable d'exercer une activité lucrative depuis 1993 (pce 118). Estimant les deux appréciations médicales du Dr Paripovic contradictoires, l'Office a soumis le dossier au Dr Lehmann, qui a conclu à une incapacité de travail de l'assuré de 20% dans une activité de substitution légère et adaptée. Forte de cette dernière prise de position de son service médical, l'administration a conclu devant l'autorité de céans au rejet du recours et à la confirmation de la décision attaquée. Le recourant, pour sa part, fait valoir en substance que la sécurité sociale française l'a reconnu totalement incapable de travailler dans toute activité professionnelle et qu'il devrait dès lors en être de même en Suisse.</w:t>
      </w:r>
    </w:p>
    <w:p>
      <w:r>
        <w:rPr>
          <w:b/>
        </w:rPr>
        <w:t>E. 11.2</w:t>
      </w:r>
    </w:p>
    <w:p>
      <w:r>
        <w:t>A titre liminaire, il sied de rappeler (cf. 2 supra) au recourant que le degré d'invalidité d'un assuré qui prétend une rente de l'assurance-invalidité suisse est déterminé exclusivement d'après le droit suisse. Les décisions prises par la sécurité sociale française ne lient donc pas les autorités suisses. L'autorité de céans considère que la demande de rente de l'assurance-invalidité n'a pas été instruite à satisfaction par l'autorité inférieure. Au vu de la nature du diagnostic qui a été posé par les médecins sollicités et de l'apparente gravité des affections reconnues à l'assuré, l'OAIE ne pouvait simplement se fonder sur la prise de position du 8 mars 2007 de son service médical (pce 109) pour rejeter la demande de prestations formulée par A._______. Les Drs Bindler, Himmelspach et Wilhelm, ainsi que la sécurité sociale française ont, en effet, tout de même jugé que l'assuré était totalement incapable de travailler. L'Office se devait donc d'étayer ses assertions d'une expertise psychiatrique, indépendante et complète. Ce d'autant plus qu'une telle documentation médicale avait été explicitement requise, à réitérées reprises, par le Dr Hobin du service médical de l'OAIE (cf. pces 96, 103). Il est à relever de plus que le Dr Paripovic, dans sa prise de position du 8 mars 2007 qui a fondé la décision querellée, avait clairement précisé que le rapport d'expertise requis du psychiatre traitant ne lui était jamais parvenu, qu'il aurait été détruit. Enfin, la fiche médical du service des assurances sociales françaises (pce 106) sur laquelle ce dernier médecin s'est basé pour rendre son avis, ne remplit manifestement pas les conditions d'une expertise administrative et ne saurait dès lors en pallier le défaut. Après le dépôt du recours, de nouvelles pièces médicales ont été versées au dossier. Ces documents doivent être examinés lors même qu'ils sont postérieures à la décision attaquée (examen rétrospectif: ATF 121 V 366, 116 V 248). Dans leurs rapports, les Drs Chaumont et Hein reconnaissent au recourant une incapacité de travail de 100%, le Dr Keel de 50%. Le Dr Paripovic s'est, ensuite, manifestement inscrit à faux contre sa prise de position du 8 mars 2007 dans celle du 13 mai 2008 et a conclu à une incapacité de travail complète de A._______ dans toute activité. L'apparente gravité des affections dont souffre le recourant a ainsi été corroborée par les divers documents médicaux versés au dossier postérieurement à la décision litigieuse, exception faite de l'avis médical du 12 juin 2008 du Dr Lehmann. Ce médecin ne retient qu'une incapacité de 20%. Il ne saurait toutefois être suivi. D'une part, parce que ledit médecin n'est pas psychiatre, la fiabilité de son appréciation médicale dans le cas d'espèce pouvant dès lors être remise en cause (arrêts du Tribunal fédéral 9C 341/07 du 16 novembre 2007 consid. 4.1, I 211/06 du 22 février 2007 consid. 5.4.1 et I 1098/06 du 29 novembre 2007 consid. 9.2). D'autre part, parce que, comme nous l'avons vu, les autres documents médicaux figurant au dossier mettent en évidence des troubles d'une gravité telle qu'une incapacité de 20% n'apparaît pas proportionnée. La nécessité d'une expertise psychiatrique était donc patente à chaque étape de la procédure et il subsiste à ce jour des contradictions, notamment au sein même du SMR, qui n'ont pas vocation à être tranchées par l'autorité de recours. Il est le lieu de préciser qu'en l'occurrence, l'autorité de céans ne saurait statuer au fond et reconnaître au recourant une incapacité de travail de 50%. L'expertise privée du Dr Keel n'a, en effet, pas la valeur probante d'une expertise mise en oeuvre par un tribunal ou un assureur-invalidité (ATF 125 V 151).</w:t>
      </w:r>
    </w:p>
    <w:p>
      <w:r>
        <w:rPr>
          <w:b/>
        </w:rPr>
        <w:t>E. 12</w:t>
      </w:r>
    </w:p>
    <w:p>
      <w:r>
        <w:t>Le recours doit, partant, être admis en ce sens que la décision attaquée doit être annulée et la cause renvoyée à l'OAIE, afin que celui-ci prenne une nouvelle décision, après avoir procédé à une instruction complémentaire (art. 61 PA). A cet effet, une expertise psychiatrique sera effectuée. L'ensemble du dossier devra ensuite être soumis pour examen à un médecin du service médical de l'administration.</w:t>
      </w:r>
    </w:p>
    <w:p>
      <w:r>
        <w:rPr>
          <w:b/>
        </w:rPr>
        <w:t>E. 13</w:t>
      </w:r>
    </w:p>
    <w:p>
      <w:r>
        <w:t>Selon la jurisprudence, la partie qui a formé recours est réputée avoir obtenu gain de cause lorsque la cause est renvoyée à l'administration pour instruction complémentaire et nouvelle décision (ATF 132 V 215 consid. 6.2). Il n'est pas perçu de frais de procédure (art. 63 al. 2 PA, applicable par renvoi de l'art. 37 LTAF). L'avance de frais de Fr. 300.-, versée par A._______ le 25 septembre 2008, lui est remboursée.</w:t>
      </w:r>
    </w:p>
    <w:p>
      <w:r>
        <w:rPr>
          <w:b/>
        </w:rPr>
        <w:t>E. 14</w:t>
      </w:r>
    </w:p>
    <w:p>
      <w:r>
        <w:t>Le recourant n'étant pas représenté,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