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C-3806/2017 vom 24. Januar 2018</w:t>
      </w:r>
    </w:p>
    <w:p>
      <w:r>
        <w:t>Bundesverwaltungsgericht, 2018-01-24, DE</w:t>
      </w:r>
    </w:p>
    <w:p>
      <w:r>
        <w:rPr>
          <w:b/>
        </w:rPr>
        <w:t xml:space="preserve">Quelle: </w:t>
      </w:r>
      <w:r>
        <w:t>https://mcp.opencaselaw.ch/entscheid/bvger_C-3806_2017</w:t>
      </w:r>
    </w:p>
    <w:p>
      <w:r>
        <w:t>FR: TAF C-3806/2017 du 24 janvier 2018</w:t>
      </w:r>
    </w:p>
    <w:p>
      <w:r>
        <w:t>IT: TAF C-3806/2017 del 24 gennaio 2018</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Die Beschwerdeführerin hat am vorinstanzlichen Verfahren teilgenommen; sie ist durch die angefochtene Verfügung berührt und hat ein schutzwürdiges Interesse an deren Aufhebung oder Änderung, sodass sie im Sinne von Art. 59 ATSG beschwerdelegitimiert ist (vgl. auch Art. 48 Abs. 1 VwVG). Zum Antrag auf unentgeltliche Prozessführung und Verbeiständung wird auf E. 8 verwiesen. Da die Beschwerde im Übrigen frist- und formgerecht eingereicht worden ist (Art. 60 ATSG und Art. 52 VwVG), ist darauf grundsätzlich einzutreten.</w:t>
      </w:r>
    </w:p>
    <w:p>
      <w:r>
        <w:rPr>
          <w:b/>
        </w:rPr>
        <w:t>E. 2.1</w:t>
      </w:r>
    </w:p>
    <w:p>
      <w:r>
        <w:t>Gemäss Art. 40 Abs. 2 der Verordnung über die Invalidenversicherung vom 17. Januar 1961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Die Beschwerdeführerin war vor Eintritt des Gesundheitsschadens zuletzt als Grenzgängerin für die Stiftung B._______ in (...) als Pflegefachfrau erwerbstätig und lebte, namentlich auch im Zeitpunkt der Anmeldung, in (...) (Frankreich). Sie macht einen Gesundheitsschaden geltend, der auf den Zeitpunkt ihrer Tätigkeit als Grenzgängerin zurückgeht und zu deren Abbruch geführt haben soll. Unter diesen Umständen war die kantonale IV-Stelle C._______ für die Entgegennahme und Prüfung der Anmeldung sowie die Vorinstanz für den Erlass der angefochtenen Verfügung zuständig.</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4.1</w:t>
      </w:r>
    </w:p>
    <w:p>
      <w:r>
        <w:t>Die Beschwerdeführerin ist deutsche Staatsangehörige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lit.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der Beschwerdeführerin auf Leistungen der schweizerischen Invalidenversicherung alleine aufgrund der schweizerischen Rechtsvorschriften.</w:t>
      </w:r>
    </w:p>
    <w:p>
      <w:r>
        <w:rPr>
          <w:b/>
        </w:rPr>
        <w:t>E. 4.2</w:t>
      </w:r>
    </w:p>
    <w:p>
      <w:r>
        <w:t>Das Sozialversicherungsgericht stellt bei der Beurteilung einer Streitsache in der Regel auf den bis zum Zeitpunkt des Erlasses der Verfügung (hier: 1. Juni 2017) eingetretenen Sachverhalt ab. Tatsachen, die jenen Sachverhalt seither verändert haben, sollen im Normalfall Gegenstand einer neuen Verfügung sein (vgl. BGE 132 V 215 E. 3.1.1; 121 V 362 E. 1b).</w:t>
      </w:r>
    </w:p>
    <w:p>
      <w:r>
        <w:rPr>
          <w:b/>
        </w:rPr>
        <w:t>E. 4.3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sodass die zur altrechtlichen Regelung ergangene Rechtsprechung weiterhin massgebend ist (vgl. Urteile des BGer 8C_944/2010 vom 21. März 2011 E. 3 sowie 8C_373/2008 vom 28. August 2008 E. 2.1; BGE 135 V 215 E. 7).</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Die Beschwerdeführerin erfüllt unstreitig die Mindestbeitragsdauer für den Anspruch auf eine ordentliche Invalidenrente (vgl. vorne Sachverhalt A).</w:t>
      </w:r>
    </w:p>
    <w:p>
      <w:r>
        <w:rPr>
          <w:b/>
        </w:rPr>
        <w:t>E. 5.2</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Nach Art. 28 Abs. 1 IVG haben jene Versicherte Anspruch auf eine Rente, die ihre Erwerbsfähigkeit nicht durch zumutbare Eingliederungsmassnahmen wieder herstellen, erhalten oder verbessern können (lit. a); während eines Jahres ohne wesentlichen Unterbruch durchschnittlich mindestens zu 40 % arbeitsunfähig gewesen sind (lit. b); und nach Ablauf dieses Jahres zu mindestens 40 % invalid sind (lit. c).</w:t>
      </w:r>
    </w:p>
    <w:p>
      <w:r>
        <w:rPr>
          <w:b/>
        </w:rPr>
        <w:t>E. 5.4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5.5.2</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5.5.3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5.5.4</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Vorliegend hat die Vorinstanz das Rentengesuch der Beschwerdeführerin mangels Vorliegen einer rentenbegründenden Invalidität abgewiesen. Vernehmlassungsweise beantragt sie die Gutheissung der Beschwerde und Rückweisung der Sache zur Ergänzung der medizinischen Akten und zum Erlass eines neuen Entscheids (act. 4). Dabei stützt sie sich auf die Stellungnahme des RAD-Arztes Dr. med. E._______ vom 7. August 2017 (IV-act. 141), welcher im Rahmen des Beschwerdeverfahrens zur Stellungnahme aufgefordert wurde. Dr. med. E._______ äusserte sich nach Einsicht in die beschwerdeweise eingereichten Arztberichte von Dr. F._______ vom 6. März 2017 sowie von Dr. G._______ vom 5. Mai und 6. Juni 2017 dahingehend, dass sich bis zum Zeitpunkt des Vorbescheids keine umschriebene oder abgegrenzte Psychopathologie gezeigt habe. Dr. F._______ habe bereits im Bericht vom 28. Dezember 2015 eine depressive Entwicklung beschrieben, welche im Bericht vom 29. September 2016 nochmals aufgeführt werde. Bezüglich der fraglichen psychischen Komorbidität habe sich der Einwand alleinig auf eine Textpassage in der hausärztlichen Stellungnahme von Dr. F._______ vom 29. September 2016 gestützt. Eine explizite und definierte psychiatrische Diagnose sei nicht benannt worden. Die Beschreibung der psychischen Befunde sei oberflächlich verblieben und zu einer leitliniengerechten Therapie sei nicht Stellung genommen worden. Eine Rückfrage der Vorinstanz beim Rechtsvertreter der Beschwerdeführerin bezüglich des Vorliegens fachpsychiatrischer Diagnosen sei trotz mehrmaliger Mahnungen unbeantwortet geblieben. In Kenntnis der aktuellen Befunde könne nicht mehr zweifelsfrei und uneingeschränkt an den bisherigen Einschätzungen des RAD festgehalten werden. Rückblickend könnten in Kenntnis der jetzigen Unterlagen bereits die ersten indirekten Hinweise auf eine psychiatrische Komorbidität im Herbst 2015 bestanden haben. Ausdrücklich zu bemängeln sei jedoch die nicht erfolgte Kooperation von Seiten des Rechtsvertreters. Bei nicht zweifelsfreien medizinischen Befunden und deren Auswirkung auf die Arbeitsfähigkeit werde eine bidisziplinäre rheumatologische und psychiatrische Begutachtung bei den Dres. H._______ und I._______ empfohlen.</w:t>
      </w:r>
    </w:p>
    <w:p>
      <w:r>
        <w:rPr>
          <w:b/>
        </w:rPr>
        <w:t>E. 6.2</w:t>
      </w:r>
    </w:p>
    <w:p>
      <w:r>
        <w:t>Die Vorinstanz ging vorliegend hauptsächlich gestützt auf die Berichte von Dr. med. D._______ vom 3. Juni 2016 und 3. März 2017 (IV-act. 107, 129) sowie des RAD-Arztes Dr. med. E._______ vom 7. Juli 2016 und 9. Mai 2017 (IV-act. 113, 133) davon aus, dass infolge eines operativen Eingriffs von Dezember 2013 bis Ende April 2014 in jeglicher Tätigkeit eine volle Arbeitsunfähigkeit bestanden habe. Vom 1. Mai bis 11. Juli 2014 sei der Versicherten die Ausübung der bisherigen Tätigkeit als Altenpflegerin, wie auch in jeglicher Alternativtätigkeit, die ihren Berufs- und Fachkenntnissen entspreche, wieder ein Arbeitspensum im Umfang von 50 % zumutbar. Ab 12. Juli 2014 seien - aufgrund der fortwährenden Verbesserung des Gesundheitszustandes - wechselbelastende Tätigkeiten im Umfang eines Pensums von 100 % möglich und zumutbar. Aus den Akten geht hervor, dass die anlässlich des Vorbescheid- und Beschwerdeverfahrens eingereichten medizinischen Berichte eine Verschlechterung des Gesundheitszustandes sowie bislang unberücksichtigte Beschwerden in psychiatrischer Hinsicht aufzeigen. Der Allgemeinmediziner Dr. F._______ führte bereits in seinem Arztbericht vom 28. Dezember 2015 unter Angabe von radikulären Beschwerden aus, dass die Versicherte unter ständigen Schmerzen leide, aufgrund derer sich ein depressiver Zustand entwickelt habe. Sie könne die täglichen Aufgaben nicht bewältigen (IV-act. 96, S. 4). In seinem Bericht vom 29. September 2016 wiederholte er, dass bei der Versicherten unter anderem ein depressiver Zustand vorliege (IV-act. 120, S. 3 - 5). Im anlässlich des Beschwerdeverfahrens eingereichten Arztbericht vom 6. März 2017 führte Dr. F._______ zusammengefasst aus, die Versicherte leide unter einer radikulären Kompression durch eine Diskushernie L3-L4. Es sei eine zunehmende Verschlechterung der Symptome eingetreten, welche eine vollständige Arbeitsunfähigkeit zur Folge habe. Damit zusammenhängend sei eine majore Depression aufgetreten; diese bewirke Angst- und Schlafstörungen mit einer Abwertung der eigenen Person sowie Grübelgedanken (act. 1, Beilage 3). Dr. G._______, Facharzt für Psychiatrie, nannte in seinem ebenfalls beschwerdeweise eingereichten Arztbericht vom 5. Mai 2017 unter Verwendung des Codes ICD-10 F32.2 die Diagnose einer schweren Depression in Folge der Rückenpathologie. Im Bericht vom 6. Juni 2017 nannte er ein depressives Erscheinungsbild, Schlafstörungen sowie lumbale Beschwerden und Schmerzen im linken Bein (act. 1, Beilage 4 f.). Offensichtlich wurden diese psychiatrischen Beschwerdebilder im Rahmen der Prüfung des Rentengesuchs nicht berücksichtigt. Demzufolge lag der Untersuchungsbefund zum Zeitpunkt des Erlasses der angefochtenen Verfügung nicht lückenlos vor.</w:t>
      </w:r>
    </w:p>
    <w:p>
      <w:r>
        <w:rPr>
          <w:b/>
        </w:rPr>
        <w:t>E. 7</w:t>
      </w:r>
    </w:p>
    <w:p>
      <w:r>
        <w:t>Aufgrund der vorstehenden Erwägungen ist zusammenfassend festzuhalten, dass eine zuverlässige Einschätzung, in welchem Mass die Beschwerdeführerin Einschränkungen nicht nur in physischer, sondern auch in psychischer Hinsicht unterliegt, aufgrund der bestehenden Aktenlage nicht vorgenommen werden kann. Der rechtserhebliche Sachverhalt in medizinischer Hinsicht ist durch die Vorinstanz nicht rechtsgenüglich abgeklärt und gewürdigt worden (Art. 43 ff. ATSG sowie Art. 12 und Art. 49 lit. b VwVG), sodass die Beschwerde vom 6. Juli 2017 gemäss dem gemeinsamen Antrag der Vorinstanz und der Beschwerdeführerin gutzuheissen und die Verfügung vom 1. Juni 2017 aufzuheben ist. Nachdem die psychiatrischen Krankheitsbilder bislang ungeklärt geblieben sind, ist die Streitsache gestützt auf Art. 61 Abs. 1 VwVG an die Vorinstanz zurückzuweisen, was bei dieser Sachlage rechtsprechungsgemäss zulässig ist (BGE 137 V 210 E. 4.4.1.4 und Urteil des BGer 8C_633/2014 vom 11. Dezember 2014 E. 3). Da es gemäss bundesgerichtlicher Rechtsprechung bei Versicherten mit gesundheitlichen Beeinträchtigungen physischer und psychischer Art unabdingbar ist, physische und psychische Beeinträchtigungen nicht isoliert, sondern interdisziplinär beurteilen zu lassen, wird die Rückweisung mit der Weisung verbunden, dass die Vorinstanz eine entsprechende Begutachtung der Beschwerdeführerin in der Schweiz zu veranlassen hat (vgl. Urteil des BGer 9C_235/2013 vom 10. September 2013 E. 3.2, mit weiteren Hinweisen). Die Auswahl der Fachdisziplinen und der Beizug von Spezialisten ist dem pflichtgemässen Ermessen der Gutachter zu überlassen, zumal es primär ihre Aufgabe ist, aufgrund der konkreten Fragestellung über Art und Umfang der erforderlichen Untersuchungen zu befinden (vgl. dazu Urteil des BGer 8C_124/2008 vom 17. Oktober 2008 E. 6.3.1). Danach hat die Vorinstanz eine neue Verfügung zu erlassen, in welcher sie sich unter Einbezug der medizinischen Vorakten zur Arbeitsfähigkeit der Beschwerdeführerin in der bisherigen Tätigkeit und in einer leidensangepassten Tätigkeit zu äussern hat.</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w:t>
      </w:r>
    </w:p>
    <w:p>
      <w:r>
        <w:rPr>
          <w:b/>
        </w:rPr>
        <w:t>E. 8.1.1</w:t>
      </w:r>
    </w:p>
    <w:p>
      <w:r>
        <w:t>Vorliegend stellte die IV-Stelle C._______ in ihrer Vernehmlassung vom 29. August 2017 das Rechtsbegehren, es seien ihr keine Gerichtskosten aufzuerlegen. Begründet wird dieser Antrag damit, dass sie die Beschwerdeführerin aufgrund des handschriftlichen Berichts des Hausarztes vom 29. September 2016 mit Schreiben vom 2. Februar 2017 sowie mit mehrmaligen Mahnschreiben gebeten habe, Fragen zu einem allfälligen psychischen Leiden zu beantworten; diese Schreiben seien unbeantwortet geblieben. Der erste Bericht von Dr. G._______ datiere auf den 5. Mai 2017, die angefochtene Verfügung hingegen vom 1. Juni 2017. Es wäre somit ohne Weiteres möglich gewesen, diesen Bericht vor Erlass der angefochtenen Verfügung einzureichen und somit ein Beschwerdeverfahren zu vermeiden (act. 4, Beilage 1).</w:t>
      </w:r>
    </w:p>
    <w:p>
      <w:r>
        <w:rPr>
          <w:b/>
        </w:rPr>
        <w:t>E. 8.1.2</w:t>
      </w:r>
    </w:p>
    <w:p>
      <w:r>
        <w:t>Der Rechtsvertreter der Beschwerdeführerin macht hingegen in seiner Replik vom 20. November 2017 geltend, es sei hypothetisch und könne offenbleiben, ob eine Beschwerde vermeidbar gewesen wäre, wenn der Bericht von Dr. G._______ vor Erlass der Verfügung vorgelegen hätte. Die Beschwerde wäre auch vermeidbar gewesen, wenn vor Erlass der Verfügung kommuniziert worden wäre, dass trotz begründetem Einwand am Vorbescheid festgehalten werde. Es seien keine Akten vorenthalten worden. Dem Rechtsvertreter sei der Bericht von Dr. G._______ vom 16. Mai 2017 [recte wohl: 5. Mai 2017] nicht bereits vor der angefochtenen Verfügung vorgelegen (act. 11).</w:t>
      </w:r>
    </w:p>
    <w:p>
      <w:r>
        <w:rPr>
          <w:b/>
        </w:rPr>
        <w:t>E. 8.1.3</w:t>
      </w:r>
    </w:p>
    <w:p>
      <w:r>
        <w:t>Wie vorstehend dargelegt (E. 6.2) lagen bereits im Dezember 2015 Hinweise auf eine psychiatrische Erkrankung der Beschwerdeführerin vor (IV-act. 96, S. 4). Die IV-Stelle C._______ hatte denn auch aufgrund dieser Hinweise den Rechtsvertreter mit Schreiben vom 2. Februar, 15. März sowie 18. April 2017 aufgefordert, dazu Stellung zu nehmen (IV-act. 127, 130 f.). Ihr Argument, dass in den Arztzeugnissen, welche sich vor dem Verfügungserlass in den Akten befanden, weder eine explizite noch eine definierte psychiatrische Diagnose gestellt worden sei, kann vorliegend nicht gehört werden. Sie hat nämlich gestützt auf Art. 12 VwVG i.V.m. Art. 43 Abs. 1 ATSG den Sachverhalt von Amtes wegen festzustellen und dazu die notwendigen Abklärungen vorzunehmen. Sie hatte somit die Pflicht, die entsprechenden medizinischen Abklärungen zu tätigen, zumal der Verdacht auf eine mindestens seit Dezember 2015 bestehende psychiatrische Erkrankung vorlag. Demzufolge und da eine Rückweisung praxisgemäss als Obsiegen der beschwerdeführenden Partei gilt (BGE 132 V 215 E. 6), sind der Beschwerdeführerin keine Kosten aufzuerlegen. Ihr Gesuch vom 6. Juli 2017 auf Gewährung der unentgeltlichen Rechtspflege ist somit gegenstandslos geworden. Der IVSTA werden ebenfalls keine Verfahrenskosten auferlegt (Art. 63 Abs. 2 VwVG).</w:t>
      </w:r>
    </w:p>
    <w:p>
      <w:r>
        <w:rPr>
          <w:b/>
        </w:rPr>
        <w:t>E. 8.2</w:t>
      </w:r>
    </w:p>
    <w:p>
      <w:r>
        <w:t>Gemäss Art. 64 Abs. 1 VwVG kann die Beschwerdeinstanz der ganz oder teilweise obsiegenden Partei von Amtes wegen oder auf Begehren eine Entschädigung für ihr erwachsene notwendige und verhältnismässig hohe Kosten zusprechen.</w:t>
      </w:r>
    </w:p>
    <w:p>
      <w:r>
        <w:rPr>
          <w:b/>
        </w:rPr>
        <w:t>E. 8.3</w:t>
      </w:r>
    </w:p>
    <w:p>
      <w:r>
        <w:t>Die Parteientschädigung umfasst dabei die Kosten der Vertretung sowie allfällige weitere notwendige Auslagen der Partei (Art. 8 VGKE). Die Kosten der Vertretung umfassen gemäss Art. 9 Abs. 1 VGKE das Anwaltshonorar (lit. a), den Ersatz der Auslagen (lit. b) und der Mehrwertsteuer (lit. c), wobei Letztere nur dann geschuldet ist, wenn die zu entschädigende Partei Wohnsitz oder Sitz in der Schweiz hat (vgl. dazu Urteile des BVGer C-3362/2013 vom 29. Februar 2016 E. 11.2, C-3800/2012 vom 27. Mai 2014, C-7742/2009 vom 9. August 2012 E. 7.2, C-6248/2011 vom 25. Juli 2012 E. 12.2.5 m.w.H. und C-6173/2009 vom 29. August 2011 m.H). Das Anwaltshonorar wird nach dem notwendigen Zeitaufwand des Vertreters oder der Vertreterin bemessen (Art. 10 Abs. 1 VGKE), wobei der Stundensatz für Anwälte und Anwältinnen mindestens Fr. 200.- und höchstens Fr. 400.- beträgt (Art. 10 Abs. 2 VGKE).</w:t>
      </w:r>
    </w:p>
    <w:p>
      <w:r>
        <w:rPr>
          <w:b/>
        </w:rPr>
        <w:t>E. 8.4</w:t>
      </w:r>
    </w:p>
    <w:p>
      <w:r>
        <w:t>Die obsiegende, rechtsanwaltlich vertretene Beschwerdeführerin hat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2'000.-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