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C-3802/2013 vom 3. Juli 2014</w:t>
      </w:r>
    </w:p>
    <w:p>
      <w:r>
        <w:t>Bundesverwaltungsgericht, 2014-07-03, FR</w:t>
      </w:r>
    </w:p>
    <w:p>
      <w:r>
        <w:rPr>
          <w:b/>
        </w:rPr>
        <w:t xml:space="preserve">Quelle: </w:t>
      </w:r>
      <w:r>
        <w:t>https://mcp.opencaselaw.ch/entscheid/bvger_C-3802_2013</w:t>
      </w:r>
    </w:p>
    <w:p>
      <w:r>
        <w:t>FR: TAF C-3802/2013 du 3 juillet 2014</w:t>
      </w:r>
    </w:p>
    <w:p>
      <w:r>
        <w:t>IT: TAF C-3802/2013 del 3 luglio 2014</w:t>
      </w:r>
    </w:p>
    <w:p>
      <w:pPr>
        <w:pStyle w:val="Heading2"/>
      </w:pPr>
      <w:r>
        <w:t>Regeste</w:t>
      </w:r>
    </w:p>
    <w:p>
      <w:r>
        <w:t>Rentes</w:t>
      </w:r>
    </w:p>
    <w:p>
      <w:pPr>
        <w:pStyle w:val="Heading2"/>
      </w:pPr>
      <w:r>
        <w:t>Erwägungen</w:t>
      </w:r>
    </w:p>
    <w:p>
      <w:r>
        <w:rPr>
          <w:b/>
        </w:rPr>
        <w:t>E. 2</w:t>
      </w:r>
    </w:p>
    <w:p>
      <w:r>
        <w:t>En l'espèce, est litigieux le montant de la rente AVS allouée à l'assuré. Alors que l'administration reconnaît à ce dernier un droit à une rente mensuelle de Fr. 158.-, le recourant estime qu'il a droit à une rente supérieure, dès lors que les données retenues par la CSC concernant les années de cotisation et les revenus obtenus seraient incomplètes.</w:t>
      </w:r>
    </w:p>
    <w:p>
      <w:r>
        <w:rPr>
          <w:b/>
        </w:rPr>
        <w:t>E. 3.1</w:t>
      </w:r>
    </w:p>
    <w:p>
      <w:r>
        <w:t>En vertu des art. 29 ss LAVS, le calcul de la rente est déterminé par les années de cotisations, les revenus provenant d'une activité lucrative ainsi que les bonifications pour tâches éducatives ou pour tâches d'assistance.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art. 29bis al. 1 LAVS). Selon l'art. 6 al. 2 let. b du règlement sur l'assurance-vieillesse et survivants du 31 octobre 1947 (RAVS, RS 831.101), les indemnités pour prestations d'assurance en cas d'accident ou de maladie ne sont pas comprises dans le revenus provenant d'une activité lucrative.</w:t>
      </w:r>
    </w:p>
    <w:p>
      <w:r>
        <w:rPr>
          <w:b/>
        </w:rPr>
        <w:t>E. 3.2</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Le Tribunal fédéral a précisé que, pour des motifs de sécurité juridique, il convient de se montrer strict en matière d'appréciation des preuves, surtout lorsqu'une affirmation contradictoire est faite après plusieurs années, à l'occasion d'un litige portant sur la fixation de prestations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y compris les années de cotisations pour lesquelles le paiement des cotisations est prescrit au sens de l'art. 16 al. 1 LAVS (RCC 1984 p. 184 et 459). L'art. 30ter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rétention des cotisations sur le salaire de l'employé est donc l'élément déterminant pour permettre la prise en compte de ces montants. L'art. 30ter al. 2 LAVS s'applique également aux conventions de salaire net, la preuve de telles conventions doit être apportée, celle d'une relation de travail n'étant pas suffisante (ATF 130 V 335 consid. 4.1). 4.1 En l'espèce, lors du dépôt de la demande de rente le 26 janvier 2012, les revenus portés sur le compte individuel de l'assuré permettaient de confirmer que l'assuré avait exercé une activité lucrative en Suisse soumise à cotisations aux dates suivantes: de juin à septembre 1990; de janvier à octobre 1991; de janvier à mai respectivement de septembre à novembre 1998, soit en tout pour une durée de 22 mois au total (cf. feuille ACOR du 7 août 2012 [doc 19] et relevé du CI du 17 juillet 2013 [doc 18 p. 1-2]). Selon la décision de l'autorité inférieure du 7 août 2012 (doc 22), ces données donnaient à l'assuré le droit à une rente AVS mensuelle de Fr. 53.-. 4.2 Jusqu'à ce jour, l'intéressé a toutefois produit des documents complémentaires faisant part de l'exercice d'une activité lucrative en Suisse à d'autres dates que celles mentionnées dans les relevés du compte individuel. 4.3 Ainsi, dans un premier courrier du 10 février 2011 (doc 6 p. 1), l'assuré a fait parvenir à l'administration plusieurs fiches de salaires mensuelles desquelles il ressort qu'il a oeuvré pour le compte de l'entreprise B._______ de mai à septembre 1995 et de décembre 1995 à novembre 1997 (doc 7). 4.4 Dans son opposition du 11 septembre 2012 (doc 23 p. 1), l'assuré a ensuite produit de nouvelles fiches de paie mensuelles attestant qu'il a travaillé pour cette même entreprise de septembre à octobre 1989, d'octobre à novembre 1990, d'octobre à novembre 1991, de septembre à octobre 1992, de septembre à octobre 1993, d'octobre à novembre 1994, de septembre à octobre 1996 et d'octobre à novembre 1997 (doc 23 p. 2 ss). 4.5 Dans la décision sur opposition du 16 mai 2013 (doc 36-37), l'administration a tenu compte des fiches de paie produites par l'assuré en annexe à son opposition du 11 septembre 2012 et estimé que ce dernier avait travaillé en Suisse avec cotisations 3 ans et 1 mois, ce qui donnait droit à une rente AVS supérieure de Fr. 158.- par mois (doc 36). L'assuré conteste cette conclusion en soulignant qu'il a travaillé pendant 12 ans en Suisse avec salaire soumis à cotisations (doc 23 p. 1 et pce TAF 8).</w:t>
      </w:r>
    </w:p>
    <w:p>
      <w:r>
        <w:rPr>
          <w:b/>
        </w:rPr>
        <w:t>E. 5</w:t>
      </w:r>
    </w:p>
    <w:p>
      <w:r>
        <w:t>Sur le vu du dossier, la manière de procéder de l'autorité inférieure est critiquable à plus d'une titre.</w:t>
      </w:r>
    </w:p>
    <w:p>
      <w:r>
        <w:rPr>
          <w:b/>
        </w:rPr>
        <w:t>E. 5.1</w:t>
      </w:r>
    </w:p>
    <w:p>
      <w:r>
        <w:t>Tout d'abord, il appert que les fiches de paie produites par l'assuré lors de son premier envoi (courrier du 10 février 2011 [doc 6 et 7]) sont rédigées de la même manière que celles versées à la cause lors du deuxième envoi (opposition du 11 septembre 2012 [doc 23]). En effet, même si elles portent sur des mois différents, elle comprennent toutes les postes "titre", "période", "référence n°", "nom/prénom", "nombre d'heures", "tarif horaire", "salaire brut", "salaire net"). Par conséquent, si l'on arrive à la conclusion que les fiches de paie du deuxième envoi sont de nature à justifier une rectification du compte individuel, on voit mal pour quelles raisons il se justifierait de procéder différemment en rapport avec les fiches de paie déposées lors du premier envoi. Or, l'administration a tenu compte uniquement des fiches de paie versées à la cause en annexe à l'opposition de l'assuré du 11 septembre 2012, ce qui, en l'état du dossier, échappe à toute logique et paraît arbitraire. Déjà pour cette raison, il convient donc de renvoyer l'affaire à l'administration pour qu'elle remédie à cette incohérence.</w:t>
      </w:r>
    </w:p>
    <w:p>
      <w:r>
        <w:rPr>
          <w:b/>
        </w:rPr>
        <w:t>E. 5.2</w:t>
      </w:r>
    </w:p>
    <w:p>
      <w:r>
        <w:t>Force est ensuite de constater que, in casu, la CSC n'a pas procédé à toutes les mesures d'instruction que l'on pouvait attendre de sa part dans le cadre du principe inquisitoire qui régit le droit des assurances sociales (cf. supra consid. 1; arrêt du Tribunal fédéral I 560/03 du 25 mars 2004 consid. 2.1 et les références citées). En particulier, vu que le recourant indiquait clairement qu'il avait travaillé en Suisse pendant 12 ans (cf. lettre d'opposition du 11 septembre 2012 [doc 23]), il est incompréhensible que la CSC ait requis de la part de la Caisse de compensation n° 110, dans sa lettre du 4 février 2013 (doc 26 p. 1), de faire des recherches dans ses décomptes limitées aux années 1989, 1992, 1993, 1994, 1996 et 1997. Par ailleurs, une enquête auprès de la Caisse cantonale vaudoise de compensation s'avérait aussi nécessaire pour voir si l'entreprise B._______ n'avait pas été assurée auprès de différentes caisses de compensation pendant la période en cause allant apparemment de 1988 à fin 1999 (cf. notamment doc 23 p. 2 et doc 14 p. 2). Finalement, rien au dossier ne laisse entrevoir que l'autorité inférieure ait effectué une quelconque recherche pour découvrir si l'entreprise B._______ existait toujours respectivement s'il était possible d'accéder à des pièces comptables portant sur les années déterminantes (cf. arrêts du Tribunal fédéral H 115/04 du 29 décembre 2004 consid. 4 ss; 9C_96/2010 du 26 février 2010 consid. 3).</w:t>
      </w:r>
    </w:p>
    <w:p>
      <w:r>
        <w:rPr>
          <w:b/>
        </w:rPr>
        <w:t>E. 6</w:t>
      </w:r>
    </w:p>
    <w:p>
      <w:r>
        <w:t>Compte tenu de tout ce qui précède, il convient donc d'annuler la décision attaquée et de renvoyer la cause à l'autorité inférieure pour qu'elle procède conformément aux considérants du présent arrêt (art. 61 PA). 7.1 Il n'est pas perçu de frais de procédure (art. 85bis al. 2 LAVS), 7.2 Le recourant a agi sans avoir recours à un représentant et n'a pas démontré avoir eu à supporter des frais indispensables et relativement élevés. Il n'y a donc pas lieu de lui allouer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