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C-3789/2008 vom 21. April 2009</w:t>
      </w:r>
    </w:p>
    <w:p>
      <w:r>
        <w:t>Bundesverwaltungsgericht, 2009-04-21, DE</w:t>
      </w:r>
    </w:p>
    <w:p>
      <w:r>
        <w:rPr>
          <w:b/>
        </w:rPr>
        <w:t xml:space="preserve">Quelle: </w:t>
      </w:r>
      <w:r>
        <w:t>https://mcp.opencaselaw.ch/entscheid/bvger_C-3789_2008</w:t>
      </w:r>
    </w:p>
    <w:p>
      <w:r>
        <w:t>FR: TAF C-3789/2008 du 21 avril 2009</w:t>
      </w:r>
    </w:p>
    <w:p>
      <w:r>
        <w:t>IT: TAF C-3789/2008 del 21 aprile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Gemäss Art. 37 VGG richtet sich das Verfahren vor dem Bundesverwaltungsgericht nach dem VwVG, soweit das Gesetz nichts anderes bestimmt.</w:t>
      </w:r>
    </w:p>
    <w:p>
      <w:r>
        <w:rPr>
          <w:b/>
        </w:rPr>
        <w:t>E. 1.3</w:t>
      </w:r>
    </w:p>
    <w:p>
      <w:r>
        <w:t>Die Beschwerdeführerin ist als Adressatin der Verfügung vom 8. Mai 2008 zur Beschwerde legitimiert (Art. 48 Abs. 1 VwVG). Auf die frist- und formgerecht eingereichte Beschwerde ist daher einzutreten (Art. 50 ff. VwVG).</w:t>
      </w:r>
    </w:p>
    <w:p>
      <w:r>
        <w:rPr>
          <w:b/>
        </w:rPr>
        <w:t>E. 1.4</w:t>
      </w:r>
    </w:p>
    <w:p>
      <w:r>
        <w:t>Das Bundesverwaltungsgericht entscheidet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 sowie Urteil des Bundesverwaltungsgerichts C-135/2006 vom 20. Dezember 2007 E. 2 mit weiteren Hinweisen).</w:t>
      </w:r>
    </w:p>
    <w:p>
      <w:r>
        <w:rPr>
          <w:b/>
        </w:rPr>
        <w:t>E. 3</w:t>
      </w:r>
    </w:p>
    <w:p>
      <w:r>
        <w:t>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4.1</w:t>
      </w:r>
    </w:p>
    <w:p>
      <w:r>
        <w:t>Das in Art. 67 AuG geregelte Einreiseverbot entspricht der altrechtlichen Einreisesperre von Art. 13 d des Bundesgesetzes vom 26. März 1931 über Aufenthalt und Niederlassung der Ausländer (ANAG, BS 1 121). Es kann vom Bundesamt gegenüber ausländischen Personen verfügt werden, die gegen die öffentliche Sicherheit und Ordnung in der Schweiz oder im Ausland verstossen haben oder diese gefährden (Art. 67 Abs. 1 Bst. a AuG). Das Einreiseverbot wird befristet oder in schwerwiegenden Fällen unbefristet verfügt (Art. 67 Abs. 3 AuG). Wenn wichtige Gründe es rechtfertigen, kann die verfügende Behörde das Einreiseverbot vorübergehend aufheben (Art. 67 Abs. 4 AuG).</w:t>
      </w:r>
    </w:p>
    <w:p>
      <w:r>
        <w:rPr>
          <w:b/>
        </w:rPr>
        <w:t>E. 4.2</w:t>
      </w:r>
    </w:p>
    <w:p>
      <w:r>
        <w:t>Die öffentlichen Sicherheit und Ordnung im Sinne von Art. 67 Abs. 1 Bst. a AuG umfasst neben anderen polizeilichen Schutzgütern die Unverletzlichkeit der objektiven Rechtsordnung (Botschaft zum Bundesgesetz über die Ausländerinnen und Ausländer vom 8. März 2002, BBl 2002 3809; vgl. auch RAINER J. SCHWEIZER / PATRICK SUTTER / NINA WIDMER, in: RAINER J. SCHWEIZER [Hrsg.], Sicherheits- und Ordnungsrecht des Bundes, SBVR Bd. III/1, Basel 2008, Teil B Rz. 13 mit Hinweisen). Somit kann eine Zuwiderhandlung gegen ausländerrechtliche Bestimmungen als Teil der objektiven Rechtsordnung ein Einreiseverbot nach sich ziehen, jedoch nicht als Sanktion, sondern als Massnahme zum Schutz vor künftigen Störungen (vgl. BBl 2002 3813).</w:t>
      </w:r>
    </w:p>
    <w:p>
      <w:r>
        <w:rPr>
          <w:b/>
        </w:rPr>
        <w:t>E. 5.1</w:t>
      </w:r>
    </w:p>
    <w:p>
      <w:r>
        <w:t>Die Beschwerdeführerin wurde mit Strafbefehl vom 13. Novem- ber 2008 rechtskräftig wegen Ausübung einer Erwerbstätigkeit ohne Bewilligung im Sinne von Art. 115 Abs. 1 Bst. c AuG verurteilt, damit ist ihr Aufenthalt bereits deshalb rechtswidrig. Dazu kommt, dass ihr Reisepass nur bis zum 30. April 2008 gültig war. Weiter hat die Vorinstanz in ihrer Vernehmlassung vom 3. November 2008 zu Recht und mit zutreffender Begründung darauf hingewiesen, dass sich die Beschwerdeführerin als Staatsangehörige der Dominikanischen Republik im Zusammenhang mit ihrem Aufenthalt in der Schweiz nicht auf die Bestimmungen des FZA berufen kann, da sie nicht die Staatsangehörigkeit einer Vertragspartei besitzt und somit unter die gewöhnlichen ausländerrechtlichen Bestimmungen fällt (vgl. Art. 1 Abs. 1 FZA). Aufgrund der Widerhandlungen gegen die ausländerrecht-lichen Bestimmungen steht fest, dass die Beschwerdeführerin gegen die öffentliche Sicherheit und Ordnung in der Schweiz verstossen hat und somit die Voraussetzungen von Art. 67 Abs. 1 Bst. a AuG erfüllt.</w:t>
      </w:r>
    </w:p>
    <w:p>
      <w:r>
        <w:rPr>
          <w:b/>
        </w:rPr>
        <w:t>E. 5.2</w:t>
      </w:r>
    </w:p>
    <w:p>
      <w:r>
        <w:t>Neben der (bereits eingetretenen) Verletzung nennt Art. 67 Abs. 1 Bst. a AuG auch den Tatbestand der Gefährdung der öffentlichen Sicherheit und Ordnung. Sowohl mit der Verurteilung wegen Ausübung einer Erwerbstätigkeit ohne Bewilligung als auch dem illegalen Aufenthalt erfüllt die Beschwerdeführerin gleichzeitig diesen zweiten in Bst. a erwähnten Tatbestand. Ihr Verhalten lässt darauf schliessen, dass sie auch künftig keine Gewähr für ein Respektieren der schweizerischen Rechtsordnung bieten kann.</w:t>
      </w:r>
    </w:p>
    <w:p>
      <w:r>
        <w:rPr>
          <w:b/>
        </w:rPr>
        <w:t>E. 6.1</w:t>
      </w:r>
    </w:p>
    <w:p>
      <w:r>
        <w:t>Zu prüfen ist weiter, ob die erfolgte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5. Aufl., Zürich / St. Gallen 2006, Rz. 613 ff.).</w:t>
      </w:r>
    </w:p>
    <w:p>
      <w:r>
        <w:rPr>
          <w:b/>
        </w:rPr>
        <w:t>E. 6.2</w:t>
      </w:r>
    </w:p>
    <w:p>
      <w:r>
        <w:t>Wie dargelegt hat die Beschwerdeführerin ausländerrechtliche Bestimmungen verletzt. Das generalpräventiv motivierte öffentliche Interesse, die ausländerrechtliche Ordnung durch eine konsequente Massnahmenpraxis gegenüber fehlbaren Ausländerinnen und Ausländern zu schützen, ist gewichtig.</w:t>
      </w:r>
    </w:p>
    <w:p>
      <w:r>
        <w:rPr>
          <w:b/>
        </w:rPr>
        <w:t>E. 6.3</w:t>
      </w:r>
    </w:p>
    <w:p>
      <w:r>
        <w:t>Persönliche Interessen macht die Beschwerdeführerin insofern geltend, als sie angibt, sie habe intensive persönliche Kontakte zur Schweiz, insbesondere zur ihrer Tante, mit welcher sie eine enge und langjährige Beziehung verbinde. Schon mit 16 Jahren habe sie diese Tante in der Schweiz besuchen dürfen, was eine prägende Beziehung zur Schweiz ausgelöst habe. Zudem kenne sie (die Beschwerdeführerin) zahlreiche Personen aus der Dominikanischen Republik in der Schweiz. Sie habe ausserdem einen Freund in der Schweiz gefunden, mit welchem sie eine intensive Freundschaft unterhalte. Diese von der Beschwerdeführerin geschilderten privaten Interessen sind jedoch geringer Natur und machen folglich ihre Anwesenheit in der Schweiz nicht zwingend notwendig. Es handelt sich vorliegend um keine familiären Beziehungen, die unter den Schutzbereich von Art. 8 Ziff. 1 der Konvention vom 4. November 1950 zum Schutze der Menschenrechte und Grundfreiheiten (EMRK, SR 0.101.0) und Art. 13 Abs. 1 der Bundesverfassung der Schweizerischen Eidgenossenschaft vom 18. April 1999 (BV, SR 101) fallen - Bestimmungen, welche beide dem Schutz eines von staatlichen Eingriffen ungestörten Privat- und Familienlebens dienen und im Ausländerrecht identische Ansprüche vermitteln (BGE 129 II 215 E. 4.2 S. 218 f.).</w:t>
      </w:r>
    </w:p>
    <w:p>
      <w:r>
        <w:rPr>
          <w:b/>
        </w:rPr>
        <w:t>E. 6.4</w:t>
      </w:r>
    </w:p>
    <w:p>
      <w:r>
        <w:t>Eine wertende Gewichtung der sich entgegenstehenden öffentlichen und privaten Interessen führt das Bundesverwaltungsgericht zum Schluss, dass das auf zwei Jahre befristete Einreiseverbot sowohl vom Grundsatz her als auch in Bezug auf seine Dauer eine verhältnismäs-sige und angemessene Massnahme zum Schutz der öffentlichen Sicherheit und Ordnung darstellt.</w:t>
      </w:r>
    </w:p>
    <w:p>
      <w:r>
        <w:rPr>
          <w:b/>
        </w:rPr>
        <w:t>E. 7</w:t>
      </w:r>
    </w:p>
    <w:p>
      <w:r>
        <w:t>Aus diesen Erwägungen ergibt sich, dass die angefochtene Verfügung Bundesrecht nicht verletzt, den rechtserheblichen Sachverhalt richtig und vollständig feststellt und auch angemessen ist (Art. 49 VwVG). Die Beschwerde ist daher abzuweisen.</w:t>
      </w:r>
    </w:p>
    <w:p>
      <w:r>
        <w:rPr>
          <w:b/>
        </w:rPr>
        <w:t>E. 8</w:t>
      </w:r>
    </w:p>
    <w:p>
      <w:r>
        <w:t>Entsprechend dem Ausgang des Verfahrens sind der Beschwerdeführerin die Kosten des Verfahrens aufzuerlegen (Art. 63 Abs. 1 VwVG). Die Verfahrenskosten sind auf Fr. 600.-- festzusetzen (Art. 1, Art. 2 und Art.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