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C-3782/2010 vom 24. Januar 2012</w:t>
      </w:r>
    </w:p>
    <w:p>
      <w:r>
        <w:t>Bundesverwaltungsgericht, 2012-01-24, DE</w:t>
      </w:r>
    </w:p>
    <w:p>
      <w:r>
        <w:rPr>
          <w:b/>
        </w:rPr>
        <w:t xml:space="preserve">Quelle: </w:t>
      </w:r>
      <w:r>
        <w:t>https://mcp.opencaselaw.ch/entscheid/bvger_C-3782_2010</w:t>
      </w:r>
    </w:p>
    <w:p>
      <w:r>
        <w:t>FR: TAF C-3782/2010 du 24 janvier 2012</w:t>
      </w:r>
    </w:p>
    <w:p>
      <w:r>
        <w:t>IT: TAF C-3782/2010 del 24 gennaio 2012</w:t>
      </w:r>
    </w:p>
    <w:p>
      <w:pPr>
        <w:pStyle w:val="Heading2"/>
      </w:pPr>
      <w:r>
        <w:t>Regeste</w:t>
      </w:r>
    </w:p>
    <w:p>
      <w:r>
        <w:t>Rentenanspruch</w:t>
      </w:r>
    </w:p>
    <w:p>
      <w:pPr>
        <w:pStyle w:val="Heading2"/>
      </w:pPr>
      <w:r>
        <w:t>Erwägungen</w:t>
      </w:r>
    </w:p>
    <w:p>
      <w:r>
        <w:rPr>
          <w:b/>
        </w:rPr>
        <w:t>E. 4</w:t>
      </w:r>
    </w:p>
    <w:p>
      <w:r>
        <w:t>Vorab ist zu prüfen, ob die IVSTA angesichts des von ihr an die IV-Stelle TG weitergeleiteten Gesuchs (vgl. IV-act. 56) die zuständige Verfügungsbehörde war.</w:t>
      </w:r>
    </w:p>
    <w:p>
      <w:r>
        <w:rPr>
          <w:b/>
        </w:rPr>
        <w:t>E. 4.1</w:t>
      </w:r>
    </w:p>
    <w:p>
      <w:r>
        <w:t>Die örtliche Zuständigkeit der IV-Stelle richtet sich in der Regel nach dem Wohnsitz des Versicherten im Zeitpunkt der Anmeldung (Art. 55 IVG). Zuständig zur Entgegennahme und Prüfung der Anmeldung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4.2</w:t>
      </w:r>
    </w:p>
    <w:p>
      <w:r>
        <w:t>Die Beschwerdeführerin war Grenzgängerin und hatte ihre letzte Arbeitsstelle im Kanton Thurgau; sie wohnt zudem noch im Grenzgebiet. Die IVSTA hat das Leistungsbegehren somit zu Recht zwecks Abklärung an die IV-Stelle TG weitergeleitet. Auch der Verfügungserlass durch die IVSTA ist nicht zu beanstanden.</w:t>
      </w:r>
    </w:p>
    <w:p>
      <w:r>
        <w:rPr>
          <w:b/>
        </w:rPr>
        <w:t>E. 5.1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5.2.1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5.2.2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5.2.3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5.3</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5.4</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5.4.1</w:t>
      </w:r>
    </w:p>
    <w:p>
      <w:r>
        <w:t>Laut bundesgerichtlicher Rechtsprechung ist für Hausfrauen, die vor dem Eintritt des Gesundheitsschadens nicht ganztägig erwerbstä­tig waren, die sogenannte gemischte Methode anzuwenden (vgl. BGE 130 V 393 mit Hinweisen). Dabei wird die Invalidität im Bereich der Erwerbstätigkeit aufgrund des Einkommensvergleichs bestimmt, im Bereich der üblichen Tätigkeit im Haushalt jedoch anhand des Betäti­gungsvergleichs bemessen (Art. 28a Abs. 3 IVG).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Der Invaliditätsgrad ergibt sich schliesslich aus einer Addition der in beiden Bereichen ermittelten und gewichteten Teilinvaliditäten.</w:t>
      </w:r>
    </w:p>
    <w:p>
      <w:r>
        <w:rPr>
          <w:b/>
        </w:rPr>
        <w:t>E. 5.4.2</w:t>
      </w:r>
    </w:p>
    <w:p>
      <w:r>
        <w:t>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 5.5.1. 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 5.5.2. 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(vgl. Art. 17 ATSG, BGE 130 V 343 E. 3.5 mit Hinweisen). Unter revisionsrechtlichen Gesichtspunkten - welche gleichermassen für das Neuanmeldungsverfahren gelten (vgl. BGE 133 V 108 E. 5.2; Urteil des BGer I 658/05 vom 27. März 2006 E. 4.4) - ist die unterschiedliche Beur­teilung eines im Wesent­lichen un­verändert gebliebenen Sachverhaltes unerheblich (BGE 112 V 371 E. 2b mit Hinweisen; SVR 1996 IV Nr. 70 E. 3a).</w:t>
      </w:r>
    </w:p>
    <w:p>
      <w:r>
        <w:rPr>
          <w:b/>
        </w:rPr>
        <w:t>E. 6</w:t>
      </w:r>
    </w:p>
    <w:p>
      <w:r>
        <w:t>Vorliegend ist die IVSTA auf die Neuanmeldung der Beschwerdeführerin eingetreten und hat den Sachverhalt eingehend abgeklärt. Gemäss den soeben dargelegten Grundsätzen ist somit massgebend, ob sich der Gesundheitszustand der Beschwerdeführerin seit der rechtskräftigen abweisenden Verfügung vom 27. Juli 2005 bis zum Zeitpunkt der angefochtenen Verfügung vom 21. April 2010 in rentenanspruchserheblicher Weise verschlechtert hat und, falls ja, wie hoch ihr Invaliditätsgrad ist.</w:t>
      </w:r>
    </w:p>
    <w:p>
      <w:r>
        <w:rPr>
          <w:b/>
        </w:rPr>
        <w:t>E. 6.1</w:t>
      </w:r>
    </w:p>
    <w:p>
      <w:r>
        <w:t>Der abweisenden Verfügung vom 27. Juli 2005 lag folgender medizinischer Sachverhalt zugrunde:</w:t>
      </w:r>
    </w:p>
    <w:p>
      <w:r>
        <w:rPr>
          <w:b/>
        </w:rPr>
        <w:t>E. 6.1.1</w:t>
      </w:r>
    </w:p>
    <w:p>
      <w:r>
        <w:t>Dr. med. A._______ stellte in ihrem Formularbericht E213 folgende Diagnosen respektive erhob folgende Befunde: Bluthochdruck, eine diskrete Erhöhung des Gamma GT und der Cholesterin-Werte, eine Wirbelsäule, die nicht exakt im Lot ist mit Betonung der physiologischen Krümmungen, keine Wurzelreizung und keine wesentlichen Funktionseinschränkungen. Sie erachtete die Beschwerdeführerin für eine leichte bis mittelschwere Tätigkeit als zu 100% arbeitsfähig.</w:t>
      </w:r>
    </w:p>
    <w:p>
      <w:r>
        <w:rPr>
          <w:b/>
        </w:rPr>
        <w:t>E. 6.1.2</w:t>
      </w:r>
    </w:p>
    <w:p>
      <w:r>
        <w:t>Die begutachtenden Ärzte der MEDAS des Inselspitals Bern stellten in ihrem Gutachten vom 11. März 2005 bei der Beschwerdeführerin keine Einschränkungen mit Auswirkungen auf die Arbeitsfähigkeit fest. Als Diagnosen ohne Auswirkungen auf die Arbeitsfähigkeit nannten die Ärzte 1) chronisch rezidivierende Beschwerden der Wirbelsäule bei Fehlstatik, Haltungsinsuffizienz, muskulärem Hartspann und verschmächtigter Rumpfmuskulatur und röntgenologisch festgestellter geringer Seitverkrümmung der Lendenwirbelsäule nach rechts bei beginnenden degenerativen Veränderungen, 2) kein nervenwurzelbezogenes neurologisches Defizit, 3) beidseits erheblich verkürzte Ischiokruralmuskulatur, 4) aktuell bei der Untersuchung bestehende Epicondylitis humeri radialis links, 5) messtechnischer Ausschluss einer Osteoporose, 6) Anhalt auf Musculus piriformis-Syndrom links, 7) medikamentös eingestellte arterielle Hypertonie und 8) dezente Adipositas mit rückläufigem Körpergewicht. Unter Berücksichtigung der vorgenannten Diagnosen erachteten die Ärzte die Beschwerdeführerin als zu 100% arbeitsfähig in ihrer früheren Tätigkeit als Pflegehelferin.</w:t>
      </w:r>
    </w:p>
    <w:p>
      <w:r>
        <w:rPr>
          <w:b/>
        </w:rPr>
        <w:t>E. 6.2</w:t>
      </w:r>
    </w:p>
    <w:p>
      <w:r>
        <w:t>Die anlässlich der Wiederanmeldung vom Februar 2009 durch die Beschwerdeführerin eingereichten und durch die IVSTA eingeholten medizinischen Unterlagen ergeben folgendes Bild:</w:t>
      </w:r>
    </w:p>
    <w:p>
      <w:r>
        <w:rPr>
          <w:b/>
        </w:rPr>
        <w:t>E. 6.2.1</w:t>
      </w:r>
    </w:p>
    <w:p>
      <w:r>
        <w:t>Dr. med. B._______ stellte in ihrem Formularbericht E213 vom 28. April 2008 folgende Diagnosen: 1) rezidivierende Rückenschmerzen bei leichtgradiger Wirbelsäulenverkrümmung sowie beginnenende Verschleisserscheinungen, 2) arterielle Hypertonie, medikamentös unbefriedigend eingestellt, 3) Funktionsstörung des rechten Labyrinths mit Schwindel, medikamentös z.T. nicht behandelt, 4) Hochtonschwer­hörigkeit mit Hörgerät ausgeglichen, 5) beginnende Coxarthrose beidseits und 6) Übergewicht mit Hypercholesterinämie und Fettleber. Die beurteilende Ärztin erachtete die Beschwerdeführerin aufgrund der vorstehenden Diagnosen sowohl für leichte Tätigkeiten mit wechselnder Körperhaltung (ohne Bücken, Heben und Tragen von Lasten) als auch in ihrer früheren Tätigkeit als Pflegehelferin als zu 100% arbeitsfähig.</w:t>
      </w:r>
    </w:p>
    <w:p>
      <w:r>
        <w:rPr>
          <w:b/>
        </w:rPr>
        <w:t>E. 6.2.2</w:t>
      </w:r>
    </w:p>
    <w:p>
      <w:r>
        <w:t>Dem Entlassungsbericht der Rehaklinik vom 19. Januar 2010 sind folgende Diagnosen zu entnehmen: 1) operiertes medulläres Schilddrüsenkarzinom, 2) Halslymphödem nach Neck dissection und postoperativ Recurrensparese rechts, 3) Chylothorax mit Ateminsuffizienz, 4) Tra­cheostoma mit sekundärer Wundheilung und 5) chronifizierte Rückenschmerzen mit multifaktorieller Genese. Die Ärzte erachteten die Beschwerdeführerin zufolge der festgestellten Einschränkungen für leichte Tätigkeiten (mit Ausnahme von "Sprechberufen") während "drei bis unter sechs Stunden" täglich arbeitsfähig.</w:t>
      </w:r>
    </w:p>
    <w:p>
      <w:r>
        <w:rPr>
          <w:b/>
        </w:rPr>
        <w:t>E. 6.3</w:t>
      </w:r>
    </w:p>
    <w:p>
      <w:r>
        <w:t>Vorweg ist festzuhalten, dass es aufgrund der anlässlich des Wiederanmeldungsverfahrens eingeholten Berichte naheliegt, von einer Veränderung des gesundheitlichen Zustandes auszugehen, da neu ein Zustand nach operiertem medullärem Schilddrüsenkarzinom vorliegt. Zu prüfen war somit, welche Veränderungen des Gesundheitszustandes vorliegen und ob diese zu einer rentenrelevanten Beeinträchtigung führen. Diesbezüglich ist zusammenfassend festzuhalten, dass gemäss den ärztlichen Stellungnahmen seit der erstmaligen Rentenablehnung insbesondere eine Hochtonschwerhörigkeit, ein Chylothorax sowie ein Status nach operiertem Schilddrüsenkarzinom (inkl. Halslymphödem nach Neck dissection beidseits und postoperativer Recurrensparese rechts) zusätzlich aufgetreten ist; im Übrigen sind die Diagnosen dieselben geblieben. Die beurteilenden Ärzte gehen übereinstimmend davon aus, dass die Beschwerdeführerin nur noch in leichten, wechselbelastenden Tätigkeiten arbeitsfähig ist. Unklar ist allerdings, in welchem Ausmass dies der Fall ist. Dr. med. B._______ führt aus, die Beschwerdeführerin sei vollschichtig arbeitsfähig, sofern Wirbelsäulenzwangshaltungen sowie das Besteigen von Leitern und Gerüsten vermieden würden. Ferner bestätigt die beurteilende Ärztin, dass die Beschwerdeführerin auch in ihrer bisherigen Tätigkeit als Pflegehelferin noch arbeitsfähig sei. Dem Entlassungsbericht der Rehaklinik ist ebenfalls zu entnehmen, dass die Beschwerdeführerin nur noch für leichte Tätigkeiten während "drei bis unter sechs Stunden" täglich als arbeitsfähig eingeschätzt wird. Vorweg ist festzuhalten, dass die Einschätzungen der deutschen Ärzte, welche die Arbeitsfähigkeit in Kategorien (z.B. drei bis unter sechs Stunden) einteilen, nicht ohne Weiteres für die vorliegende Beurteilung übernommen werden können, da sie nicht den schweizerischen Kriterien entsprechen. Im Übrigen sind die Beurteilungen der Arbeitsfähigkeit insofern nachvollziehbar, als die Ärzte davon ausgehen, dass nur noch leichte Tätigkeiten (mit Ausnahme von "Sprechberufen") möglich seien. Diesbezüglich ist deshalb auf die übereinstimmenden Beurteilungen der Rehaklinik, Dr. med. B._______ (vgl. Ziffern 9 ff. ihres Formularberichts) sowie auch die Schlussfolgerung des Regionalen Ärztlichen Dienstes (RAD) abzustellen. Die teilweise anderslautende (und deshalb auch in sich widersprüchliche) Beurteilung von Dr. med. B._______, welche unter Ziffer 11.4 angibt, die Beschwerdeführerin sei auch in ihrer bisherigen Tätigkeit als Pflegehelferin noch arbeitsfähig ist nicht nachvollziehbar, da der Beruf der Pflegehelferin mitunter körperlich anspruchsvolle Arbeiten mit ungünstigen Belastungen des Rückens mit sich bringt. Diese Einschätzung steht zudem im Widerspruch mit dem Entlassungsbericht der Rehaklinik sowie dem Kurzbericht vom 23. September 2009 (IV-act. 66, S. 2 bis 5), welchen ebenfalls zu entnehmen ist, dass die Arbeit als Pflegehelferin nicht mehr respektive nur sehr eingeschränkt ("braucht Hilfe", "unter drei Stunden") möglich sei. Es ist somit in Übereinstimmung mit dem RAD (vgl. BVGer-act. 18 [case report] S. 11 bis 13) davon auszugehen, dass nur in leichten Tätigkeiten eine Restarbeitsfähigkeit vorliegt. Es ist ferner nicht zu beanstanden, wenn der RAD zum Schluss kommt, dass in den leichten Tätigkeiten unter Berücksichtigung des negativen Leistungskatalogs eine volle Arbeitsfähigkeit besteht, da nicht ersichtlich ist, inwiefern die Beschwerdeführerin weitergehend eingeschränkt sein soll und diejenigen Ärzte, welche von einer zeitlichen Einschränkung ausgehen, diese auch nicht begründen. Somit ist festzustellen, dass der medizinische Sachverhalt hinreichend ermittelt wurde, weshalb - entgegen der Ansicht der Beschwerdeführerin - auf die Anordnung einer weiteren Begutachtung zu verzichten ist.</w:t>
      </w:r>
    </w:p>
    <w:p>
      <w:r>
        <w:rPr>
          <w:b/>
        </w:rPr>
        <w:t>E. 7</w:t>
      </w:r>
    </w:p>
    <w:p>
      <w:r>
        <w:t>Es bleibt noch der Invaliditätsgrad zu ermitteln.</w:t>
      </w:r>
    </w:p>
    <w:p>
      <w:r>
        <w:rPr>
          <w:b/>
        </w:rPr>
        <w:t>E. 7.1</w:t>
      </w:r>
    </w:p>
    <w:p>
      <w:r>
        <w:t>Gemäss den Angaben des früheren Arbeitgebers der Beschwerdeführerin hat sie in ihrer bisherigen Tätigkeit als Pflegehelferin im Jahr 2004 bei einem Pensum von 75% Fr. 3'086.75 verdient (vgl. auch den Einkommensvergleich aus dem Jahr 2004, IV-act. 52). Da der frühestmögliche Rentenbeginn auf August 2009 fällt (sechs Monate nach der Wiederanmeldung im Februar 2009 [vgl. Art. 29 Abs. 1 IVG]), ist das Einkommen entsprechend aufzurechnen. Der Lohnindex hat sich vom Jahr 2004 bis zum Jahr 2009 von 114,1 auf 123,4 entwickelt, weshalb für das Jahr 2009 von einem Valideneinkommen von Fr. 3'338.35 (= [Fr. 3'086.75 : 114,1] x 123,4) auszugehen ist.</w:t>
      </w:r>
    </w:p>
    <w:p>
      <w:r>
        <w:rPr>
          <w:b/>
        </w:rPr>
        <w:t>E. 7.2</w:t>
      </w:r>
    </w:p>
    <w:p>
      <w:r>
        <w:t>Das Invalideneinkommen als Mitarbeiterin für leichte bis mittelschwere Verweistätigkeiten, welche der Beschwerdeführerin gemäss ärztlicher Einschätzung noch zumutbar sind, ist durch Ermittlung des Durchschnitts für verschiedene Tätigkeiten gemäss LSE-Tabellen 2008, Tabelle TA1, Niveau 4, Zentralwert Frauen festzulegen. Es beträgt Fr. 4'116.-- respektive Fr. 4'201.10 (nach der Aufindexierung von 2008 [Index 120,9] auf 2009 [Index 123,4]) bei einem Pensum von 40 Wochenstunden und ist auf die durchschnittliche betriebliche Arbeitszeit aller Branchen im Jahr 2009 von 41,6 Stunden aufzurechnen, was monatlich Fr. 4'369.15 ergibt. Unter Berücksichtigung des Alters der Beschwerdeführerin (Jahrgang 1950, somit 59-jährig im Jahr 2009) rechtfertigt es sich zudem, einen leidensbedingten Abzug von 10% zu gewähren, was zu einem Einkommen von Fr. 3'932.25 führt. Bei einem Pensum von 75% beträgt somit das anrechenbare Invalideneinkommen im Jahr 2009 Fr. 2'949.20 (75% von Fr. 3'932.25).</w:t>
      </w:r>
    </w:p>
    <w:p>
      <w:r>
        <w:rPr>
          <w:b/>
        </w:rPr>
        <w:t>E. 7.3</w:t>
      </w:r>
    </w:p>
    <w:p>
      <w:r>
        <w:t>Der Vergleich von Valideneinkommen (Fr. 3'338.35) und Invalideneinkommen (Fr. 2'949.20) ergibt somit einen Invaliditätsgrad von (gerundet) 12%. Dieser Invaliditätsgrad im Erwerbsbereich ist gemäss dem Arbeitspensum der Beschwerdeführerin zu 75% anzurechnen, woraus sich der Invaliditätsgrad im Erwerbsbereich von 9% ergibt. Der Vollständigkeit halber ist hier anzumerken, dass selbst ein maximaler leidensbedingter Abzug von 25% zu einem Invaliditätsgrad im Erwerbsbereich von lediglich 21% führen würde, was - wie nachfolgend aufzuzeigen sein wird - auch unter Berücksichtigung des Invaliditätsgrades im Haushalt keinen Anspruch auf eine Rente gibt (21% + 8% [vgl. E. 7.4.] = 29%).</w:t>
      </w:r>
    </w:p>
    <w:p>
      <w:r>
        <w:rPr>
          <w:b/>
        </w:rPr>
        <w:t>E. 7.4</w:t>
      </w:r>
    </w:p>
    <w:p>
      <w:r>
        <w:t>Die Einschränkung im Haushalt beträgt gemäss Abklärungsbericht vom 21. Juni 2005 32%. Da sich der Gesundheitszustand der Beschwerdeführerin seither nicht rentenrelevant verändert hat, und da die neu hinzugekommenen Beschwerden (Status nach operiertem Schilddrüsenkarzinom) keinen Einfluss auf die Haushaltstätigkeit haben dürften, weil die von den Ärzten attestierten funktionellen Einschränkungen alle auf die bereits im Jahr 2005 bestehenden Rückenprobleme zurückzuführen sind, ist auch vorliegend auf diesen Bericht abzustellen. Die Einschränkung beträgt - wie bereits erwähnt - 32%, was bei einer Gewichtung von 25% Haushaltstätigkeit einen Invaliditätsgrad von 8% im Haushalt ergibt.</w:t>
      </w:r>
    </w:p>
    <w:p>
      <w:r>
        <w:rPr>
          <w:b/>
        </w:rPr>
        <w:t>E. 7.5</w:t>
      </w:r>
    </w:p>
    <w:p>
      <w:r>
        <w:t>Zusammenfassend ist festzuhalten, dass der addierte Invaliditätsgrad von Erwerbstätigkeit und Haushalt 17% beträgt, was keinen Anspruch auf eine Invalidenrente begründet. Die IVSTA hat somit das Leistungsbegehren der Beschwerdeführerin mit Verfügung vom 21. April 2010 zu Recht abgewiesen. Die vorliegende Beschwerde gegen diese Verfügung ist somit abzuweisen.</w:t>
      </w:r>
    </w:p>
    <w:p>
      <w:r>
        <w:rPr>
          <w:b/>
        </w:rPr>
        <w:t>E. 8</w:t>
      </w:r>
    </w:p>
    <w:p>
      <w:r>
        <w:t>Zu befinden bleibt noch über die Verfahrenskosten und eine allfällige Parteientschädigung.</w:t>
      </w:r>
    </w:p>
    <w:p>
      <w:r>
        <w:rPr>
          <w:b/>
        </w:rPr>
        <w:t>E. 8.1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der Be­schwerdeführerin als unterlegene Partei aufzuerlegen. Die Verfahrens­kosten von Fr. 400.-- sind mit dem geleisteten Kostenvorschuss zu verrechnen.</w:t>
      </w:r>
    </w:p>
    <w:p>
      <w:r>
        <w:rPr>
          <w:b/>
        </w:rPr>
        <w:t>E. 8.2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