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C-3782/2008 vom 3. Dezember 2009</w:t>
      </w:r>
    </w:p>
    <w:p>
      <w:r>
        <w:t>Bundesverwaltungsgericht, 2009-12-03, IT</w:t>
      </w:r>
    </w:p>
    <w:p>
      <w:r>
        <w:rPr>
          <w:b/>
        </w:rPr>
        <w:t xml:space="preserve">Quelle: </w:t>
      </w:r>
      <w:r>
        <w:t>https://mcp.opencaselaw.ch/entscheid/bvger_C-3782_2008</w:t>
      </w:r>
    </w:p>
    <w:p>
      <w:r>
        <w:t>FR: TAF C-3782/2008 du 3 décembre 2009</w:t>
      </w:r>
    </w:p>
    <w:p>
      <w:r>
        <w:t>IT: TAF C-3782/2008 del 3 dicembre 2009</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nei termini impartiti.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4</w:t>
      </w:r>
    </w:p>
    <w:p>
      <w:r>
        <w:t>Il ricorrente ha contestato la validità materiale della decisione dell'UAIE, chiedendo che gli sia riconosciuto il diritto ad una rendita d'invalidità.</w:t>
      </w:r>
    </w:p>
    <w:p>
      <w:r>
        <w:rPr>
          <w:b/>
        </w:rPr>
        <w:t>E. 5.1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5.2</w:t>
      </w:r>
    </w:p>
    <w:p>
      <w:r>
        <w:t>In concreto, visto che l'amministrazione è entrata nel merito della seconda richiesta di prestazioni, il periodo di riferimento per giudicare se verosimilmente è intervenuta una modifica rilevante del grado d'invalidità, tale da giustificare il riconoscimento del diritto a prestazioni, è quello tra il 1° maggio 2006, data della decisione inerente alla prima richiesta di prestazioni, ed il 24 aprile 2008, data della decisione impugnata (incarto AI, doc. 110). A questo proposito, giova rilevare che il giudice delle assicurazioni sociali analizza la legalità della decisione impugnata, in generale, secondo lo stato di fatto esistente al momento in cui essa è stata resa (DTF 130 V 445 consid. 1.2 e 1.2.1).</w:t>
      </w:r>
    </w:p>
    <w:p>
      <w:r>
        <w:rPr>
          <w:b/>
        </w:rPr>
        <w:t>E. 6</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ad un'assicurazione sociale assimilata (Foglio federale 2005 pag. 4065; art. 45 del Regolamento 1408/71) di uno Stato membro dell'Unione europea o dell'Associazione europea di libero scambio, durante un anno intero almeno, rispettivamente, a partire dal 1° gennaio 2008, durante almeno tre anni, di cui almeno uno in Svizzera (art. 36 LAI). In concreto, è pacifico che il ricorrente ha versato contributi all'AVS/AI svizzera durante più di tre anni e, pertanto, adempie la condizione della durata minima di contribuzione, alla quale la legge subordina l'erogazione di una rendita. Rimane ora da esaminare se egli sia invalido ai sensi di legge.</w:t>
      </w:r>
    </w:p>
    <w:p>
      <w:r>
        <w:rPr>
          <w:b/>
        </w:rPr>
        <w:t>E. 7.1</w:t>
      </w:r>
    </w:p>
    <w:p>
      <w:r>
        <w:t>In base all'art. 8 LPGA è considerata invalidità l'incapacità al guadagno totale o parziale presumibilmente permanente o di lunga durata. L'art. 4 cpv. 1 LAI precisa che l'invalidità può essere conseguente ad infermità congenita, malattia o infortunio; il cpv. 2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LAI e 8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7.6</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dalla documentazione medica all'incarto risulta che il ricorrente soffre di un'epatite cronica HCV correlata, resistente alla terapia con interferone e ribavirina, in evoluzione cirrotica, come pure di un'ernia iatale, di una gastroduodenopatia e di una talassemia minor. A proposito dello stato psico-neurologico depressivo cronicizzato, fatto valere per la prima volta dal ricorrente in questa sede, esso non è menzionato come elemento diagnostico in nessun documento medico agli atti, per cui non può essere considerato parte integrante della diagnosi qui determinante. È vero che il dott. T._______ ha caratterizzato le condizioni psichiche del ricorrente, nella perizia medica E 213 del 5 marzo 2007 (doc. 58), con il termine di depressione reattiva, però non ha ripreso tale affezione nella diagnosi da lui posta. Questo Tribunale non può quindi ritenere che il ricorrente soffra di disturbi depressivi, perlomeno invalidanti. Inoltre, per quanto concerne la lomboartrosi da discopatia, occorre rilevare che nella perizia E 213 precitata, nulla è stato segnalato a livello della colonna vertebrale, gli arti inferiori e superiori sono descritti come privi di particolarità e i movimenti nonché l'andatura come normali, e nessun altro documento medico fa stato di tale affezione. È opportuno rammentare che le affezioni diagnosticate devono, dal profilo giuridico, essere esaminate alla luce dell'art. 29 cpv. 1 lett. b LAI. Si tratta,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dell'invalidità solo a partire dal momento in cui ha subito, senza interruzione notevole, un'incapacità lavorativa media del 40% almeno durante un anno.</w:t>
      </w:r>
    </w:p>
    <w:p>
      <w:r>
        <w:rPr>
          <w:b/>
        </w:rPr>
        <w:t>E. 10.1</w:t>
      </w:r>
    </w:p>
    <w:p>
      <w:r>
        <w:t>Per quanto concerne l'incapacità lavorativa, solo i dott.ri T._______ e G._______ si sono pronunciati su questo punto, nella perizia E 213, rispettivamente nel rapporto di consulenza medico-legale del 28 marzo 2008 (doc. 65), valutando un grado d'incapacità generale del 100%. Infatti, in nessun altro dei numerosi rapporti e certificati agli atti, con particolare riferimento a quelli dei dott.ri D._______ e P._______, del 12 febbraio 2007, rispettivamente del 3 giugno 2008, prodotti in questa sede, non si riscontrano prese di posizione sull'incapacità lavorativa del ricorrente. Dal canto suo, il dott. B._______, medico dell'UAIE, ha stabilito, nel rapporto del 12 gennaio 2008 (doc. 61), confermato con presa di posizione dell'11 ottobre 2008 (doc. 71), che l'incapacità lavorativa come bracciante agricolo ammonta al 30% dal 4 luglio 2005, mentre essa è nulla, a partire dalla stessa data, in attività confacenti quali bidello, magazziniere o venditore. Il dott. B._______ ha certo costatato che i valori epatici (transaminasi e quantità virale) sono peggiorati, aggiungendo però che una cirrosi epatica compensata e un fegato cirrotico ingrossato non causano dolori corporali importanti, ciò che vale anche per una milza ingrossata e un aumento di liquido nello stomaco. Il medico dell'UAIE ha continuato sostenendo che, fino a quando non si è in presenza di un'ascite, di un'encefalopatia epatica o di problemi di coagulazione, malgrado l'esistenza di una trombositopenia, l'incidenza funzionale di una cirrosi epatica sulla capacità lavorativa rimane lieve. Egli ha concluso sottolineando che lo stato di salute del ricorrente non si è essenzialmente modificato rispetto allo stato esistente al momento della presa di posizione del dott. L._______, il 4 luglio 2005, relativa alla prima richiesta di prestazioni (doc. 28).</w:t>
      </w:r>
    </w:p>
    <w:p>
      <w:r>
        <w:rPr>
          <w:b/>
        </w:rPr>
        <w:t>E. 10.2</w:t>
      </w:r>
    </w:p>
    <w:p>
      <w:r>
        <w:t>In considerazione di quanto precede, il collegio giudicante non può che aderire alla valutazione del dott. B._______, chiara e convincente, e ritenere che lo stato di salute del ricorrente non ha subito una modifica rilevante durante il periodo in esame (cfr. consid. 5.2), che la sua incapacità lavorativa, come bracciante agricolo, è pari al 30% e che, in attività confacenti, essa è nulla a decorrere dal 4 luglio 2005.</w:t>
      </w:r>
    </w:p>
    <w:p>
      <w:r>
        <w:rPr>
          <w:b/>
        </w:rPr>
        <w:t>E. 11</w:t>
      </w:r>
    </w:p>
    <w:p>
      <w:r>
        <w:t>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l'UAIE ha rinunciato ad eseguire un raffronto dei redditi (doc. 62, 63 e 68), partendo dal presupposto che, visto la valutazione dell'incapacità lavorativa da parte del dott. B._______, la perdita di guadagno non può essere superiore al 30%. In effetti, considerato che il ricorrente può continuare ad esercitare l'attività di bracciante agricolo nella misura del 70%, non è necessario procedere al raffronto del reddito, conseguibile svolgendo questo lavoro, con il reddito da invalido in attività confacenti per concludere che non sussiste il diritto ad una rendita d'invalidità.</w:t>
      </w:r>
    </w:p>
    <w:p>
      <w:r>
        <w:rPr>
          <w:b/>
        </w:rPr>
        <w:t>E. 12</w:t>
      </w:r>
    </w:p>
    <w:p>
      <w:r>
        <w:t>Di conseguenza, conformemente alle considerazioni che precedono, il ricorso deve essere respinto e la decisione impugnata confermata.</w:t>
      </w:r>
    </w:p>
    <w:p>
      <w:r>
        <w:rPr>
          <w:b/>
        </w:rPr>
        <w:t>E. 13</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13 febbraio e il 18 marzo 2009.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