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C-3781/2015 vom 8. Mai 2017</w:t>
      </w:r>
    </w:p>
    <w:p>
      <w:r>
        <w:t>Bundesverwaltungsgericht, 2017-05-08, DE</w:t>
      </w:r>
    </w:p>
    <w:p>
      <w:r>
        <w:rPr>
          <w:b/>
        </w:rPr>
        <w:t xml:space="preserve">Quelle: </w:t>
      </w:r>
      <w:r>
        <w:t>https://mcp.opencaselaw.ch/entscheid/bvger_C-3781_2015</w:t>
      </w:r>
    </w:p>
    <w:p>
      <w:r>
        <w:t>FR: TAF C-3781/2015 du 8 mai 2017</w:t>
      </w:r>
    </w:p>
    <w:p>
      <w:r>
        <w:t>IT: TAF C-3781/2015 del 8 maggio 2017</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Vorliegend finden zudem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7. Mai 2015) eingetretenen Sachverhalt ab (BGE 129 V 1 E. 1.2 mit Hinweis).</w:t>
      </w:r>
    </w:p>
    <w:p>
      <w:r>
        <w:rPr>
          <w:b/>
        </w:rPr>
        <w:t>E. 2.4</w:t>
      </w:r>
    </w:p>
    <w:p>
      <w:r>
        <w:t>In materiell-rechtlicher Hinsicht ist auf jene gesetzlichen Bestimmungen abzustellen, die für die Beurteilung eines Rentenanspruchs jeweils relevant waren und in Kraft standen. Da die Anmeldung zum Leistungsbezug am 9. April 2014 eingereicht worden ist, ist vorliegend auf das IVG und die IVV in der ab 1. Januar 2012 geltenden Fassung abzustellen.</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3.2</w:t>
      </w:r>
    </w:p>
    <w:p>
      <w:r>
        <w:t>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3.3.3</w:t>
      </w:r>
    </w:p>
    <w:p>
      <w:r>
        <w:t>Zunächst ist festzuhalten, dass es nicht von vornherein unzulässig ist, einzig auf im Wohnsitzstaat des Versicherten erstellte ärztliche Berichte abzustellen (Urteil des BGer 9C_952/2011 vom 7. November 2012 E. 2.4). Indessen ist zu gewährleisten, dass die sich nach Massgabe des schweizerischen Rechts zu beurteilende Streitfrage unter Einhaltung der spezifischen beweisrechtlichen Anforderungen geklärt wird (Urteil des BGer 9C_818/2013 vom 24. Februar 2014 E. 4.1.2).</w:t>
      </w:r>
    </w:p>
    <w:p>
      <w:r>
        <w:rPr>
          <w:b/>
        </w:rPr>
        <w:t>E. 3.3.4</w:t>
      </w:r>
    </w:p>
    <w:p>
      <w:r>
        <w:t>Ein Arztbericht, der die medizinischen Vorakten unzureichend berücksichtigt, ist unvollständig und vermag daher nicht zu Ergebnissen zu führen, die auf gesamthafter Würdigung der medizinischen Lage beruhen. Einem solchen Bericht fehlt rechtsprechungsgemäss die erforderliche Überzeugungs- und Beweiskraft selbst dann, wenn die auf der Grundlage der vom Arzt selbst erhobenen Befunde gezogenen Schlüsse an sich einleuchten und vom Rechtsanwender prüfend nachvollzogen werden können (Urteil des BGer 9C_51/2008 vom 15. Juli 2008 E. 2.2 mit weiteren Hinweisen).</w:t>
      </w:r>
    </w:p>
    <w:p>
      <w:r>
        <w:rPr>
          <w:b/>
        </w:rPr>
        <w:t>E. 4</w:t>
      </w:r>
    </w:p>
    <w:p>
      <w:r>
        <w:t>Nachfolgend ist zu prüfen, ob die IVSTA das Leistungsbegehren der Beschwerdeführerin zu Recht abgewiesen hat.</w:t>
      </w:r>
    </w:p>
    <w:p>
      <w:r>
        <w:rPr>
          <w:b/>
        </w:rPr>
        <w:t>E. 4.1</w:t>
      </w:r>
    </w:p>
    <w:p>
      <w:r>
        <w:t>Den Berichten von Dr. med. F._______, Facharzt für Allgemeinmedizin und Innere Medizin, vom 31. März 2014 (IV-act. 2 S. 3) und vom 14. Januar 2015 (IV-act. 51 S. 35 f.) ist zu entnehmen, dass die Beschwerdeführerin an einem zerviko-thorakalen Schmerzsyndrom und Funktionseinschränkungen bei schwerer Fehlhaltung der gesamten Wirbelsäule mit multiplen Myogelosen, an einer Bein-Längen-Differenz sowie an einem Postpoliosyndrom leide. Er bezifferte die aus den genannten Leiden resultierende Arbeitsunfähigkeit mit 100% seit 4. November 2013 (Unfall am 3. November 2013) und empfahl eine Berentung der Beschwerdeführerin.</w:t>
      </w:r>
    </w:p>
    <w:p>
      <w:r>
        <w:rPr>
          <w:b/>
        </w:rPr>
        <w:t>E. 4.2</w:t>
      </w:r>
    </w:p>
    <w:p>
      <w:r>
        <w:t>Dr. med. B._______, Facharzt für Chirurgie, diagnostizierte im Bericht vom 22. Mai 2014 (IV-act. 51 S. 22 ff.) Poliomyelitisfolgen, eine Beinverkürzung als Poliofolge mit Spitzfuss rechts, eine konsekutive Skoliose der BWS und Beinverkürzung rechts, ein Cervikobrachialsyndrom mit periphärer Parästhesie, ein HWS-Syndrom mit Bandscheibenprotrusion, eine Gangstörung sowie ein Beckenschiefstand. Er erachtete die Beschwerdeführerin aufgrund der genannten Einschränkungen für eine leichte Arbeit mit überwiegendem Sitzen, gelegentlichem Stehen und Gehen und unter Berücksichtigung des positiven und negativen Leistungsbilds als für sechs Stunden und mehr arbeitsfähig. Für die letzte berufliche Tätigkeit als Angestellte attestierte Dr. med. B._______ eine Arbeitsfähigkeit von drei bis unter sechs Stunden. Das Leistungsvermögen werde durch die orthopädischen Leiden bestimmt. Die Leistungsminderung bestehe seit dem 4. November 2013.</w:t>
      </w:r>
    </w:p>
    <w:p>
      <w:r>
        <w:rPr>
          <w:b/>
        </w:rPr>
        <w:t>E. 4.3</w:t>
      </w:r>
    </w:p>
    <w:p>
      <w:r>
        <w:t>Dem Gutachten von Dr. med. C._______, Facharzt für Neurologie und Psychiatrie, und Dipl. psych. D._______ vom 21. August 2014 (IV-act. 51 S. 13 ff.) sind als Diagnosen "vordergründige Cervicalgien nach Treppensturz, Schmerzen im thorakalen und lumbalen Bereich, keine radikulär abgrenzbaren Schmerzen oder motorischen Ausfälle und auch keine Hinweise für eine medulläre Beteiligung" zu entnehmen. Die Arbeitsfähigkeit für die bisherige Bürotätigkeit erachteten die Gutachter für mehr als sechs Stunden pro Tag als gegeben.</w:t>
      </w:r>
    </w:p>
    <w:p>
      <w:r>
        <w:rPr>
          <w:b/>
        </w:rPr>
        <w:t>E. 4.4</w:t>
      </w:r>
    </w:p>
    <w:p>
      <w:r>
        <w:t>Dr. med. A._______, Facharzt für Rheumatologie, Innere Medizin und Manuelle Medizin, hielt im Gutachten vom 10. Dezember 2014 (IV-act. 43) folgende Diagnose mit Einfluss auf die Arbeitsfähigkeit fest: ein chronisches zervikovertebrales Syndrom mit/bei grosser linkslateraler Diskushernie C2/3 beidseits. Als Diagnosen ohne Einfluss auf die Arbeitsfähigkeit nannte er eine beginnende Fingerpolyarthrose, einen Status nach Poliomyelitis 1962 (schwere Parese der rechten unteren Extremität mit fixiertem Extensionsdefizit des rechten Knies und fixierter Spitzfussstellung rechts) und anamnestisch ein benigner paroxysmaler Lagerungsschwindel, mit den erlernten Übungen kompensiert. Zur Arbeitsfähigkeit führte er aus, das zervikovertebrale Syndrom habe insofern einen Einfluss auf die Arbeitsfähigkeit, als die Beschwerdeführerin einen leicht vermehrten Pausenbedarf zur Entlastung aufweise. Die Arbeitsfähigkeit in der letzten Tätigkeit als Büroangestellte gab er mit 90% an. Ferner bemerkte er, dass kein Profil einer Verweistätigkeit existiere, in welcher die Beschwerdeführerin eine höhere Arbeitsfähigkeit erreichen könne als in der bisherigen Bürotätigkeit. Die Bürotätigkeit sei ideal und die geringe Arbeitsunfähigkeit von 10% resultiere aus dem leicht gesteigerten Pausenbedarf. Den Verlauf der Arbeitsfähigkeit beschrieb er wie folgt: 100% arbeitsunfähig von 11/2013 (Treppensturz) bis Ende 02/2014, 50% arbeitsunfähig in 03/2014 (langsamer Wiedereinstieg in eine berufliche Tätigkeit) und seit 04/2014 10% arbeitsunfähig.</w:t>
      </w:r>
    </w:p>
    <w:p>
      <w:r>
        <w:rPr>
          <w:b/>
        </w:rPr>
        <w:t>E. 4.5</w:t>
      </w:r>
    </w:p>
    <w:p>
      <w:r>
        <w:t>Dr. med. G._______, Facharzt für Allgemeinmedizin beim Regionalen Ärztlichen Dienst (RAD), würdigte in seiner abschliessenden Stellungnahme vom 10. März 2015 (IV-act. 60) die bei den Akten liegenden Berichte und kam zum Schluss, dass die Beschwerdeführerin in Übereinstimmung mit dem Ergebnis des Gutachtens von Dr. med. A._______ nach einer kurzen Zeit der vollständigen (11/2013-02/2014) respektive 50%igen (03/2014) Arbeitsunfähigkeit nach dem Treppensturz ab 1. April 2014 wieder eine Arbeitsfähigkeit von 90% in der bisherigen Tätigkeit erreicht habe.</w:t>
      </w:r>
    </w:p>
    <w:p>
      <w:r>
        <w:rPr>
          <w:b/>
        </w:rPr>
        <w:t>E. 4.6</w:t>
      </w:r>
    </w:p>
    <w:p>
      <w:r>
        <w:t>Zusammenfassend ist festzuhalten, dass die Mehrheit der begutachtenden Ärzte davon ausgeht, dass die Beschwerdeführerin für leichte Tätigkeiten grundsätzlich noch arbeitsfähig ist. Eine abweichende Ansicht vertritt allerdings der behandelnde Arzt Dr. med. F._______, der gar von einer vollen Arbeitsunfähigkeit in jeglichen Tätigkeiten ausgeht. Kontrovers wird von den Ärzten die Höhe der Arbeitsfähigkeit in den körperlich leichten Tätigkeiten beurteilt. Ferner sind sich die Ärzte nicht einig, ob die Beschwerdeführerin in ihrer bisherigen Tätigkeit noch überwiegend arbeitsfähig ist oder ob sie eine Verweistätigkeit auszuüben hätte. Unklar ist auch, inwiefern sich eine allfällige Verweistätigkeit von der bisherigen Tätigkeit unterscheiden müsste, zumal davon auszugehen ist, dass die bisherige Tätigkeit bereits eine körperlich leichte Tätigkeit war. Während Dr. med. B._______ davon ausgeht, die Beschwerdeführerin sei in ihrer bisherigen Tätigkeit nur noch für drei bis unter sechs Stunden, in einer leichten Verweistätigkeit unter Beachtung des positiven und negativen Leistungsbilds jedoch sechs Stunden und mehr arbeitsfähig, gehen Dr. med. C._______ und Dipl. psych. D._______ sowie Dr. med. A._______ davon aus, dass sie auch in ihrer bisherigen Tätigkeit (sechs Stunden und mehr gemäss Dr. med. C._______ und Dipl. psych. D._______ respektive 90% gemäss Dr. med. A._______) arbeitsfähig sei. Die Vorinstanz hat sich auf die Beurteilung von Dr. med. A._______ gestützt. Zur Begründung führte sie aus, dass seiner Beurteilung volle Beweiskraft zukomme und kein Grund ersichtlich sei, nicht auf das vollständige und nachvollziehbare Gutachten abzustellen. Problematisch ist dabei allerdings, dass Dr. med. A._______ offensichtlich die beiden Gutachten aus Deutschland (von Dr. med. C._______ und Dipl. psych. D._______ vom 21. August 2014 sowie von Dr. med. B._______ vom 22. Mai 2014) nicht vorgelegt worden sind und er seine Einschätzung daher nicht in Kenntnis der vollständigen Vorakten abgegeben hat. Insbesondere mit Blick auf die unterschiedlichen Einschätzungen der Arbeitsfähigkeit in den Gutachten wäre eine Auseinandersetzung damit unerlässlich gewesen. Die Diskussion der Einschätzungen hätte Klarheit darüber gebracht, weshalb Dr. med. B._______ eine Differenzierung bei den noch möglichen Tätigkeiten vorgenommen hat, worin der Unterschied in den genannten Tätigkeiten (bisherige Tätigkeit gegenüber leichter Verweistätigkeit gemäss positivem und negativem Leistungsbild) genau besteht und weshalb Dr. med. A._______ auf eine solche Unterscheidung verzichtete. Entgegen der Ansicht der Beschwerdeführerin ist das Gutachten von Dr. med. A._______ vom 10. Dezember 2014, das im Zeitpunkt der Verfügung vom 7. Mai 2015 noch nicht einmal ein halbes Jahr alt war, keineswegs "veraltet". Es handelt sich bei diesem Gutachten um die aktuellste und umfassende Beurteilung, die der Vorinstanz zu jenem Zeitpunkt vorlag, wenn man vom Formularbericht vom 14. Januar 2015 (IV-act. 51 S. 35 f.) des behandelnden Arztes, Dr. med. F._______, absieht. In dieser Hinsicht ist das Gutachten von Dr. med. A._______ nicht zu beanstanden. Auf die Beurteilung des RAD-Arztes Dr. med. G._______, der sich ausschliesslich auf das Gutachten von Dr. med. A._______ stützt, das aber nicht in Würdigung der gesamten Aktenlage entstanden ist, ist daher nicht abzustellen. Diese Stellungnahme kann somit keine abschliessende Beurteilungsgrundlage bilden. Insgesamt fehlt demnach eine abschliessende medizinische Würdigung unter Berücksichtigung der vollständigen Aktenlage. Somit ist es dem Bundesverwaltungsgericht nicht möglich, aufgrund der Akten mit dem im Sozialversicherungsrecht erforderlichen Beweisgrad der überwiegenden Wahrscheinlichkeit zu beurteilen, ob und gegebenenfalls in welchem Umfang und ab wann Anspruch auf Leistungen der Invalidenversicherung besteht. Vielmehr sind dazu weitere medizinische Abklärungen respektive Präzisierungen und eine Auseinandersetzung mit den widersprüchlichen Angaben in den Berichten notwendig.</w:t>
      </w:r>
    </w:p>
    <w:p>
      <w:r>
        <w:rPr>
          <w:b/>
        </w:rPr>
        <w:t>E. 4.7</w:t>
      </w:r>
    </w:p>
    <w:p>
      <w:r>
        <w:t>Die Beschwerdeführerin beantragte im Rahmen ihrer Beschwerde die Rückweisung der Sache zur weiteren Abklärung an die Vorinstanz.</w:t>
      </w:r>
    </w:p>
    <w:p>
      <w:r>
        <w:rPr>
          <w:b/>
        </w:rPr>
        <w:t>E. 4.7.1</w:t>
      </w:r>
    </w:p>
    <w:p>
      <w:r>
        <w:t>Gemäss neuer bundesgerichtlicher Rechtsprechung können die Sozialversicherungsgerichte nicht mehr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4.7.2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4.7.3</w:t>
      </w:r>
    </w:p>
    <w:p>
      <w:r>
        <w:t>Hier liegen zwar mehrere vom Bundesverwaltungsgericht zu würdigende Gutachten im Recht, aber strittig und zu beurteilen sind schlussendlich auch die auf dem (unvollständigen) Gutachten des Dr. med. A._______ beruhenden Schlussfolgerungen von Dr. med. G._______, Facharzt für Allgemeinmedizin beim RAD vom 10. März 2015 (IV-act. 60). Eine Beurteilung ohne eingehende Diskussion der in den Gutachten divergierend beurteilten Punkte war unter diesen Umständen offensichtlich unzulässig, was zwangsläufig zu einer Präzisierung der vorhandenen Unterlagen hätte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die Arbeitsfähigkeit der Beschwerdeführerin nicht abschliessend beurteilt werden kann, ist die Beschwerde gutzuheissen und die Angelegenheit zur Vervollständigung des medizinischen Sachverhalts an die Vorinstanz zurückzuweisen. Die Vorinstanz hat Dr. med. A._______ die vollständigen medizinischen Akten, insbesondere die beiden genannten Berichte sowie der im vorliegenden Verfahren eingereichte Entlassungsbericht der Reha, E._______, vom 15. Juni 2015 (vgl. BVGer-act. 7), vorzulegen und unter Berücksichtigung der ergänzten Aktenlage eine Überarbeitung/Präzisierung seiner Beurteilung im Sinne von E. 4.6 in fine zu verlangen. Der Vollständigkeit halber ist ferner festzuhalten, dass die offenbar inzwischen erfolgte Rentenzusprache in Deutschland (vgl. die Eingabe der Beschwerdeführerin vom 24. Februar 2016 [BVGer-act. 7]) für die Beurteilung des Anspruchs auf eine schweizerische Invalidenrente nicht verbindlich ist, so dass die Beschwerdeführerin daraus nichts zu ihren Gunsten ableiten kann.</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Einer unterliegenden Vorinstanz sind keine Gerichtskosten aufzuerlegen (vgl. Art. 63 Abs. 2 VwVG). Der geleistete Kostenvorschuss in der Höhe von Fr. 400.- ist der Beschwerdeführerin nach Eintritt der Rechtskraft auf ein von ihr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Beschwerdeführerin war vorliegend anwaltlich vertreten, weshalb ihr zu Lasten der unterliegenden Vorinstanz eine Parteientschädigung zuzusprechen ist. Da keine Kostennote eingereicht wurde, ist die Parteientschädigung unter Berücksichtigung des aktenkundigen und gebotenen Aufwands auf Fr. 2'500.- festzulegen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