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C-3777/2011 vom 21. März 2012</w:t>
      </w:r>
    </w:p>
    <w:p>
      <w:r>
        <w:t>Bundesverwaltungsgericht, 2012-03-21, DE</w:t>
      </w:r>
    </w:p>
    <w:p>
      <w:r>
        <w:rPr>
          <w:b/>
        </w:rPr>
        <w:t xml:space="preserve">Quelle: </w:t>
      </w:r>
      <w:r>
        <w:t>https://mcp.opencaselaw.ch/entscheid/bvger_C-3777_2011</w:t>
      </w:r>
    </w:p>
    <w:p>
      <w:r>
        <w:t>FR: TAF C-3777/2011 du 21 mars 2012</w:t>
      </w:r>
    </w:p>
    <w:p>
      <w:r>
        <w:t>IT: TAF C-3777/2011 del 21 marzo 2012</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30. Mai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sind deshalb das per 1. Januar 2003 in Kraft getretene ATSG sowie das AHVG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zu prüfen, ob die SAK die Beschwerdeführerin zu Recht nicht in die freiwillige Versicherung aufgenommen hat.</w:t>
      </w:r>
    </w:p>
    <w:p>
      <w:r>
        <w:rPr>
          <w:b/>
        </w:rPr>
        <w:t>E. 3.1</w:t>
      </w:r>
    </w:p>
    <w:p>
      <w:r>
        <w:t>Obligatorisch versichert sind die natürlichen Personen mit Wohnsitz in der Schweiz, die natürlichen Personen, die in der Schweiz eine Erwerbstätigkeit ausüben sowie Schweizer Bürger, die im Ausland im Dienste der Eidgenossenschaft, der internationalen Organisationen - mit denen der Bundesrat ein Sitzabkommen abgeschlossen hat und die als Arbeitgeber gelten - oder privater, vom Bund namhaft subventionierter Hilfsorganisationen tätig sind (Art. 1a Abs. 1 AHVG). 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Verhältnisse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3.2</w:t>
      </w:r>
    </w:p>
    <w:p>
      <w:r>
        <w:t>Aus den Akten geht hervor, dass die Beschwerdeführerin bis zum 31. Juli 2009 in der Schweiz einer Erwerbstätigkeit nachging und bis am 18. November 2009 Wohnsitz in der Schweiz hatte. Seit dem 19. November 2009 hat sie ihren Wohnsitz in den USA (SAK-act. 4 und 7). Sie war somit bis und mit November 2009 obligatorisch versichert (vgl. Art. 1a Abs. 1 AHVG; E. 3.1 hiervor). Am Zeitpunkt des Ausscheidens aus der obligatorischen Versicherung per 1. Dezember 2009 vermag auch der Umstand nichts zu ändern, dass ihr Ehegatte von seinem ehemaligen Schweizer Arbeitgeber am 25. April 2010 einen Bonus für das "Vorjahr 01/08/09" ausbezahlt erhalten hat, für welchen der Ehegatte der Beschwerdeführerin in der Folge AHV-Beiträge in der Höhe von Fr. 542.35 leistete, zumal diese Zahlung einzig dem Ehegatten der Beschwerdeführerin zuzurechnen ist und die Beschwerdeführerin seit dem 1. Dezember 2009 weder Wohnsitz in der Schweiz hatte noch einer Erwerbstätigkeit in der Schweiz nachging. Zum Zeitpunkt der Anmeldung zur freiwilligen Versicherung im Februar 2011 war die einjährige Beitrittsfrist somit bereits abgelaufen, sodass die Anmeldung zu spät erfolgt ist. Die Beschwerdeführerin macht beschwerdeweise geltend, sie sei nicht korrekt informiert gewesen. Aufgrund eines Missverständnisses sei sie davon ausgegangen, dass die Anmeldung erst nach Ablauf eines Jahres einzureichen sei. Aus den Akten ergeben sich indes keine Hinweise dafür, dass die SAK bzw. die zuständige Auslandsvertretung die Beschwerdeführerin falsch informiert hätte, weshalb die Beschwerdeführerin aus dem geltend gemachten mangelndem Wissen nichts zu ihren Gunsten ableiten kann (vgl. E. 3.1 hiervor). Auch der Hinweis auf die erschwerten Verhältnisse aufgrund der Emigration sowie auf das in der Schweiz hängige Einbürgerungsverfahren ihres Ehemannes führt nicht zur Annahme von ausserordentlichen Verhältnissen im Sinne von Art. 11 VFV, war es der Beschwerdeführerin doch durchaus möglich, von ihrem neuen Wohnort in den USA die Beitrittserklärung innert Jahresfrist einzureichen. Demnach sind die Voraussetzungen für die Verlängerung der Beitrittsfrist gemäss Art. 11 VFV, welche rechtsprechungsgemäss nur in sehr seltenen Fällen gegeben sind, vorliegend nicht erfüllt.</w:t>
      </w:r>
    </w:p>
    <w:p>
      <w:r>
        <w:rPr>
          <w:b/>
        </w:rPr>
        <w:t>E. 3.3</w:t>
      </w:r>
    </w:p>
    <w:p>
      <w:r>
        <w:t>Zusammenfassend ist somit festzuhalten, dass die Beschwerdeführerin die Beitrittserklärung zur freiwilligen Versicherung zu spät eingereicht hat und die SAK das Beitrittsgesuch daher zu Recht abgewiesen hat. Die Beschwerde ist demzufolge im einzelrichterlichen Verfahren gemäss Art. 23 Abs. 2 VGG in Verbindung mit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w:t>
      </w:r>
    </w:p>
    <w:p>
      <w:r>
        <w:rPr>
          <w:b/>
        </w:rPr>
        <w:t>E. 4.3</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