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C-3770/2018 vom 14. Oktober 2019</w:t>
      </w:r>
    </w:p>
    <w:p>
      <w:r>
        <w:t>Bundesverwaltungsgericht, 2019-10-14, DE</w:t>
      </w:r>
    </w:p>
    <w:p>
      <w:r>
        <w:rPr>
          <w:b/>
        </w:rPr>
        <w:t xml:space="preserve">Quelle: </w:t>
      </w:r>
      <w:r>
        <w:t>https://mcp.opencaselaw.ch/entscheid/bvger_C-3770_2018</w:t>
      </w:r>
    </w:p>
    <w:p>
      <w:r>
        <w:t>FR: TAF C-3770/2018 du 14 octobre 2019</w:t>
      </w:r>
    </w:p>
    <w:p>
      <w:r>
        <w:t>IT: TAF C-3770/2018 del 14 ottobre 2019</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Zum Anfechtungsobjekt ist Folgendes festzuhalten:</w:t>
      </w:r>
    </w:p>
    <w:p>
      <w:r>
        <w:rPr>
          <w:b/>
        </w:rPr>
        <w:t>E. 1.2.1</w:t>
      </w:r>
    </w:p>
    <w:p>
      <w:r>
        <w:t>Aus den Akten ergibt sich, dass die Vorinstanz mit Verfügung vom 26. September 2016 auf das Gesuch vom 30. Oktober 2015 (Datum des Eingangs bei der Vorinstanz) aufgrund der fehlenden Zustellung erforderlicher Unterlagen und damit aufgrund einer Verletzung der Mitwirkungspflicht nicht eingetreten ist (act. 25). Diese Verfügung ist nach Aussage der Vorinstanz in Rechtskraft erwachsen. Der Beschwerdeführer bestreitet dies nicht. Zu berücksichtigen ist dabei, dass die Leistungsverweigerung oder -einstellung wegen unterlassener Mitwirkung nach Art. 43 Abs. 3 ATSG in dem Sinne als ein resolutiv bedingter Endentscheid zu verstehen ist, als die Leistungen ab demjenigen Zeitpunkt wieder zu erbringen sind, ab dem die Mitwirkung nachträglich geleistet wird, sofern sich die Anspruchsvoraussetzungen alsdann als erfüllt erweisen (Urteil des BGer 9C_282/2018 vom 18. Dezember 2018 E. 3.2). Vorliegend wurde jedoch unbestrittenermassen von einer Neuanmeldung ausgegangen und das Verfahren entsprechend fortgesetzt.</w:t>
      </w:r>
    </w:p>
    <w:p>
      <w:r>
        <w:rPr>
          <w:b/>
        </w:rPr>
        <w:t>E. 1.2.2</w:t>
      </w:r>
    </w:p>
    <w:p>
      <w:r>
        <w:t>Aus den Akten ergibt sich im Weiteren, dass die Vorinstanz auf die Neuanmeldung vom 5. Oktober 2016 (Eingangsdatum) eingetreten ist und diese mit Verfügung vom 26. Februar 2018 abgewiesen hat. Es ist aus den Akten jedoch nicht ersichtlich, dass die Vorinstanz diese Verfügung dem Beschwerdeführer auch eröffnete. Sie teilte dem Beschwerdeführer sodann mit E-Mail vom 26. März 2018 mit, dass die Verfügung als gegenstandslos zu betrachten sei, wenn er noch keine Beschwerde erhoben habe, was er bestätigte. Mit (zweiter) Verfügung vom 4. Mai 2018 teilte die Vorinstanz dem Beschwerdeführer mit, dass das Leistungsbegehren abgewiesen werde. Dagegen erhob der Beschwerdeführer Beschwerde beim Bundesverwaltungsgericht.</w:t>
      </w:r>
    </w:p>
    <w:p>
      <w:r>
        <w:rPr>
          <w:b/>
        </w:rPr>
        <w:t>E. 1.2.3</w:t>
      </w:r>
    </w:p>
    <w:p>
      <w:r>
        <w:t>Den Akten ist somit zu entnehmen, dass die Verfügung vom 26. September 2016 (Nichteintreten) in Rechtskraft erwachsen ist, die Verfügung vom 26. Februar 2018 dem Beschwerdeführer gegenüber keine Rechtswirksamkeit entfaltete, da ihm aus einer mangelhaften Eröffnung kein Nachteil erwachsen darf (Art. 38 VwVG), und die Vorinstanz selber und zu Recht davon ausgeht, erlassen und angefochten sei vorliegend die Verfügung vom 4. Mai 2018. Demnach ergibt sich, dass im vorliegenden Verfahren einzig die von der IVSTA am 4. Mai 2018 datierte Verfügung das Anfechtungsobjekt darstellt, für deren Beurteilung das Bundesverwaltungsgericht zuständig ist.</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1.4</w:t>
      </w:r>
    </w:p>
    <w:p>
      <w:r>
        <w:t>Der Beschwerdeführer hat am vorinstanzlichen Verfahren teilgenommen; er ist durch die angefochtene Verfügung vom 4. Mai 2018 berührt und hat ein schutzwürdiges Interesse an deren Anfechtung (Art. 59 ATSG). Er ist daher zur Beschwerde legitimiert.</w:t>
      </w:r>
    </w:p>
    <w:p>
      <w:r>
        <w:rPr>
          <w:b/>
        </w:rPr>
        <w:t>E. 1.5</w:t>
      </w:r>
    </w:p>
    <w:p>
      <w:r>
        <w:t>Da die Beschwerde im Übrigen frist- und formgerecht eingereicht und der Kostenvorschuss fristgerecht geleistet wurde, ist auf die Beschwerde einzutreten (Art. 50 Abs. 1 VwVG, Art. 52 VwVG und Art. 63 Abs. 4 VwVG).</w:t>
      </w:r>
    </w:p>
    <w:p>
      <w:r>
        <w:rPr>
          <w:b/>
        </w:rPr>
        <w:t>E. 2</w:t>
      </w:r>
    </w:p>
    <w:p>
      <w:r>
        <w:t>Der Beschwerdeführer ist schweizerischer Staatsangehöriger (act. 3) und wohnt in Ecuador. Zwischen der Schweiz und Ecuador besteht im Bereich des Sozialversicherungsrechts kein Staatsvertrag. Der Anspruch des Beschwerdeführers auf Leistungen der schweizerischen Invalidenversicherung bestimmt sich alleine aufgrund der schweizerischen Rechtsvorschriften.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4. Mai 2018)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3.3</w:t>
      </w:r>
    </w:p>
    <w:p>
      <w:r>
        <w:t>Das Sozialversicherungsgericht stellt bei der Beurteilung einer Streitsache in der Regel auf den bis zum Zeitpunkt des Erlasses der streitigen Verwaltungsverfügung (hier: 4. Mai 2018) eingetretenen Sachverhalt ab (BGE 132 V 215 E. 3.1.1). Tatsachen, die jenen Sachverhalt seither verändert haben, sollen im Normalfall Gegenstand einer neuen Verwaltungsverfügung sein (BGE 121 V 362 E. 1b).</w:t>
      </w:r>
    </w:p>
    <w:p>
      <w:r>
        <w:rPr>
          <w:b/>
        </w:rPr>
        <w:t>E. 3.4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(Ulrich Meyer/Marco Reichmuth, Rechtsprechung des Bundesgerichts zum IVG, 3. Aufl. 2014, Art. 36 N. 2 f.).</w:t>
      </w:r>
    </w:p>
    <w:p>
      <w:r>
        <w:rPr>
          <w:b/>
        </w:rPr>
        <w:t>E. 3.5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3.6</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3.7</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3.8</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4.1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BGE 125 V 352 E. 3a).</w:t>
      </w:r>
    </w:p>
    <w:p>
      <w:r>
        <w:rPr>
          <w:b/>
        </w:rPr>
        <w:t>E. 4.2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4.3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4.4</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4.5</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w:t>
      </w:r>
    </w:p>
    <w:p>
      <w:r>
        <w:t>Der Beschwerdeführer leistete während insgesamt 408 Monaten Beiträge an die Schweizerische Alters-, Hinterlassenen- und Invalidenversicherung (act. 16) und hat damit während mehr als drei Jahren Beiträge geleistet. Somit sind die Voraussetzungen in Bezug auf die Beitragszeiten für einen Rentenanspruch erfüllt (vgl. E. 3.4).</w:t>
      </w:r>
    </w:p>
    <w:p>
      <w:r>
        <w:rPr>
          <w:b/>
        </w:rPr>
        <w:t>E. 6</w:t>
      </w:r>
    </w:p>
    <w:p>
      <w:r>
        <w:t>Dem abweisenden Entscheid der Vorinstanz liegen diverse Arztberichte seit November 2013 zugrunde. Die Vorinstanz stützte sich bei ihrer Beurteilung insbesondere auf die medizinischen Stellungnahmen von Dr. D._______ des medizinischen Dienstes der IVSTA vom 27. April 2018 (act. 72) und vom 29. November 2017 (act. 63). Auf diese ist im Folgenden einzugehen.</w:t>
      </w:r>
    </w:p>
    <w:p>
      <w:r>
        <w:rPr>
          <w:b/>
        </w:rPr>
        <w:t>E. 6.1</w:t>
      </w:r>
    </w:p>
    <w:p>
      <w:r>
        <w:t>Mit medizinischer Stellungnahme vom 29. November 2017 von Dr. D._______ wird als Hauptdiagnose festgestellt: Thorakolumbovertebralsyndrom (Funktionsstörungen der Brust- und Lendenwirbelsäule) bei degenerativen und posttraumatischen Wirbelsäulenveränderungen, bei Status nach Luxationsfraktur Th12, Fraktur Processus transversus (Querfortsatz) rechts L1 sowie Fraktur der Lamina und des Processus spinosus (Dornfortsatz) Th11 am 27. November 2013 Status nach operativer Reposition und Fixation mittels Spondylodese (Versteifungsoperation) am 28. November 2013 persistierende Schmerzen und motorisches Defizit im rechten Bein Als Nebendiagnosen ohne Auswirkungen auf die Arbeitsfähigkeit erwähnt Dr. D._______: Status nach Operation im Bereich der Patella ca. 1980 und Status nach Appendektomie (operative Entfernung des Wurmfortsatzes am Blinddarm) (act. 63). Dabei stützt sich Dr. D._______ unter anderem auf die medizinische Stellungnahme von Dr. E._______ des medizinischen Dienstes vom 27. Januar 2017 (act. 38). Dieser hält als Diagnosen fest: Thorakolumbales Syndrom bei posttraumatischen und degenerativen Veränderungen (ICD-10-Code: M47.8 «Sonstige Spondylose: Mehrere Lokalisationen der Wirbelsäule» sowie M51.1«Lumbale und sonstige Bandscheibenschäden mit Radikulopathie»): Zustand nach Fraktur und Dislokation Th11/12 am 27. November 2013 Zustand nach Repositionsoperation und Fixation am 28. November 2013; Anhaltendes motorisches Defizit des rechten Beins Dr. D._______ verweist ausserdem auf den Arztbericht von Dr. F._______ des medizinischen Dienstes vom 9. Juni 2017, welche ebenfalls festhält, dass eine Fraktur und Luxation des Th12, eine Fraktur des rechten Querfortsatzes des L1 sowie des Dornfortsatzes von Th11 vorlag (act. 43).</w:t>
      </w:r>
    </w:p>
    <w:p>
      <w:r>
        <w:rPr>
          <w:b/>
        </w:rPr>
        <w:t>E. 6.2</w:t>
      </w:r>
    </w:p>
    <w:p>
      <w:r>
        <w:t>Mit weiterer medizinischer Stellungnahme vom 27. April 2018 von Dr. D._______ hält dieser an den Haupt- und Nebendiagnosen gemäss medizinischer Stellungnahme vom 29. November 2017 fest (vgl. E. 6.1). Auch der zwischenzeitlich orthopädische Bericht von Dr. C._______ vom 28. Februar 2018 ändert gemäss Dr. D._______ nichts daran, da die geschilderten unfall- und operationsbedingten Schwächen und Defizite mit der letzten Stellungnahme vom 29. November 2017 vereinbar seien (act. 72). Gemäss medizinischer Stellungnahme von Dr. C._______ wird sodann festgestellt, dass sich der Beschwerdeführer bei einem Gleitschirmunfall eine instabile BWK 12 (Brustwirbelkörper) -Kompressionsfraktur zugezogen habe, die notfallmässig mittels langer Instrumentierung von Th10 - 12 und Knochenaufbau von Th12 operiert worden sei. Nach dieser Notfalloperation habe der Patient posttraumatische neurologische Symptome der unteren Extremität entwickelt (act. 67).</w:t>
      </w:r>
    </w:p>
    <w:p>
      <w:r>
        <w:rPr>
          <w:b/>
        </w:rPr>
        <w:t>E. 7</w:t>
      </w:r>
    </w:p>
    <w:p>
      <w:r>
        <w:t>Der Beschwerdeführer beantragt die Aufhebung der IV-Verfügung vom 4. Mai 2018 und die rückwirkende Zusprechung mindestens einer halben Invalidenrente ab 5. Oktober 2016. Eventualiter seien weitere medizinische Abklärungen anzuordnen. Nachfolgend ist somit zu klären, ob die Vorinstanz den medizinischen Sachverhalt in korrekter Weise erhoben (vgl. E. 8) und daraus sachgerechte Schlüsse (vgl. E. 9) gezogen hat.</w:t>
      </w:r>
    </w:p>
    <w:p>
      <w:r>
        <w:rPr>
          <w:b/>
        </w:rPr>
        <w:t>E. 8.1</w:t>
      </w:r>
    </w:p>
    <w:p>
      <w:r>
        <w:t>Der Beschwerdeführer macht geltend, dass zahlreiche Krankheitsbilder nicht berücksichtigt worden seien. Aus den Akten ergibt sich, dass die orthopädischen Diagnosen hinsichtlich der Wirbelsäule und der Auswirkungen auf das rechte Bein vollumfänglich in den Beurteilungen von Dr. D._______ vom 29. November 2017 und 27. April 2018 berücksichtigt worden sind (in chronologischer Reihenfolge: act. 31; 35; 38; 43; 60; 57; 67). Hingegen nicht gewürdigt worden sind die geltend gemachten Probleme der oberen Extremitäten, so insbesondere die Dysästhesien (Sensibilitätsstörungen) und Parästhesien (schmerzhafte Körperempfindungen, die nicht durch adäquate Reize ausgelöst werden) im ulnaren Bereich beider Hände gemäss Arztbericht von Dr. G._______ vom 28. August 2017 (B-act. 15 Beilage 7). Auch Dr. E._______ hat mit Stellungnahme vom 27. Januar 2017 die Beschwerden in den oberen Extremitäten nicht berücksichtigt, zumal er in seiner Stellungnahme ausschliesslich rückenrelevante Diagnosen aufführt: M.47.80 «Sonstige Spondylose: Mehrere Lokalisationen der Wirbelsäule» sowie M.51.1 «Lumbale und sonstige Bandscheibenschäden mit Radikulopathie».</w:t>
      </w:r>
    </w:p>
    <w:p>
      <w:r>
        <w:rPr>
          <w:b/>
        </w:rPr>
        <w:t>E. 8.2</w:t>
      </w:r>
    </w:p>
    <w:p>
      <w:r>
        <w:t>Die weiteren vom Beschwerdeführer geltend gemachten gesundheitliche Einschränkungen, namentlich eine somatoforme Schmerzstörung, Fibromyalgie, Schleudertrauma, chronisches Müdigkeitssyndrom, Hypersomnie und dissoziative Bewegungsstörungen seien ebenfalls nicht berücksichtigt worden. Dr. D._______ habe in seiner Stellungnahme vom 27. April 2018 darauf aufmerksam gemacht. Hinsichtlich dieser geltend gemachten Beschwerden wird entgegen der Ausführungen des Beschwerdeführers im Arztbericht von Dr. D._______ eben gerade darauf hingewiesen, dass ein entsprechendes Syndrom nicht vorliege (act. 72 S. 2). Auch sind in den Akten keine entsprechenden medizinischen Berichte vorhanden, welche auf eine Diagnose aus dem Bereich der Schmerzstörungen verweisen. Im detaillierten medizinischen Bericht von Dr. H._______ gibt es zudem gemäss Ziff. 2 keine anamnestischen Hinweise auf psychische Probleme und auch in Ziff. 5 ist hinsichtlich eines allfälligen psychischen Gutachtens nichts ausgefüllt (act. 35). Auch dem medizinischen Bericht von Dr. C._______ vom 28. Februar 2018 sind keine Hinweise darauf zu entnehmen, dass eine psychische Störung oder Schmerzstörungen vorliegen würden (act. 67). Hinzu kommt, dass der Beschwerdeführer in seinem Schreiben vom 18. August 2017 an die IVSTA zur bisherigen Situation seit Unfall ebenfalls keine psychischen Probleme nennt (act. 53.3). Eine weitere Prüfung in diesem Punkt erübrigt sich damit.</w:t>
      </w:r>
    </w:p>
    <w:p>
      <w:r>
        <w:rPr>
          <w:b/>
        </w:rPr>
        <w:t>E. 9</w:t>
      </w:r>
    </w:p>
    <w:p>
      <w:r>
        <w:t>Zu prüfen ist weiter die Beurteilung der Arbeitsfähigkeit durch die Vorinstanz.</w:t>
      </w:r>
    </w:p>
    <w:p>
      <w:r>
        <w:rPr>
          <w:b/>
        </w:rPr>
        <w:t>E. 9.1</w:t>
      </w:r>
    </w:p>
    <w:p>
      <w:r>
        <w:t>Der Beschwerdeführer macht geltend, dass bei einer Gesamtbetrachtung aller gesundheitlicher Beschwerden eine Arbeitsfähigkeit von maximal 50% in der angestammten wie auch in einer angepassten Tätigkeit bestehe und nicht, wie von der Vorinstanz geltend gemacht, eine Arbeitsfähigkeit von 80% in einer angepassten Tätigkeit. Aufgrund der noch ausstehenden medizinischen Abklärungen hinsichtlich der oberen Extremitäten und deren Auswirkungen auf die Arbeitsfähigkeit erübrigt sich zum jetzigen Zeitpunkt eine Prüfung der Beurteilung der Arbeitsfähigkeit durch die Vorinstanz, welche in ihrer bisherigen Beurteilung lediglich davon ausgegangen ist, dass eine Arbeitsunfähigkeit aufgrund des Rückenleidens sowie der rechten unteren Extremität bestehe. Insbesondere ist bei den zusätzlichen Abklärungen hinsichtlich der Arbeitsfähigkeit in einer angepassten Tätigkeit zu berücksichtigen, dass einige der gemäss medizinischer Stellungnahme vom 27. April 2018 zumutbaren angepassten Tätigkeiten (Billettverkäufer, Empfang, Telefonvermittlung, Datenerfassung/Scannage) den Gebrauch der oberen Extremitäten erfordern. Im Rahmen der ergänzenden medizinischen Abklärung ist somit auch zu prüfen, ob aufgrund der geltend gemachten Beeinträchtigung der oberen Extremitäten weitere funktionelle Einschränkungen bestehen.</w:t>
      </w:r>
    </w:p>
    <w:p>
      <w:r>
        <w:rPr>
          <w:b/>
        </w:rPr>
        <w:t>E. 9.2</w:t>
      </w:r>
    </w:p>
    <w:p>
      <w:r>
        <w:t>In der Beschwerde macht der Beschwerdeführer geltend, dass sein Arbeitspensum in der angestammten Tätigkeit ungefähr 70% - 80% betragen habe. Folglich wird die Vorinstanz nach Durchführung der zusätzlichen medizinischen Abklärungen bei der Invaliditätsbemessung noch festzustellen haben, ob der Beschwerdeführer als (teil-)erwerbstätig einzustufen ist, was entsprechend Einfluss auf die anzuwendende Methode der Invaliditätsgradbemessung hat (vgl. E. 3.7).</w:t>
      </w:r>
    </w:p>
    <w:p>
      <w:r>
        <w:rPr>
          <w:b/>
        </w:rPr>
        <w:t>E. 10.1</w:t>
      </w:r>
    </w:p>
    <w:p>
      <w:r>
        <w:t>Insgesamt wird festgestellt, dass die gesundheitlichen Beeinträchtigungen der oberen Extremitäten von der Vorinstanz weder erwähnt noch gewürdigt worden sind. Die Beurteilungen würdigen auch nicht fachspezifisch die Hinweise auf neurologische Einschränkungen (vgl. Sachverhalt Bst. D.d und E. 6.2). Die medizinischen Stellungnahmen von Dr. D._______ vom 27. April 2018 (act. 72) und vom 29. November 2017 (act. 63) erweisen sich damit als unvollständig und nicht nachvollziehbar. Unter diesen Umständen hätte sich die Vorinstanz nicht massgeblich auf die medizinischen Stellungnahmen von Dr. D._______ abstützen dürfen, ohne weitere Abklärungen vorzunehmen. Nach dem Gesagten ist die Sache zur ergänzenden Abklärung und Neubeurteilung an die Vorinstanz zurückzuweisen. Diese ist anzuweisen in der Schweiz ein polydisziplinäres Gutachten in den Fachrichtungen Neurologie, Rheumatologie und Orthopädie einzuholen. Dabei sind die Mitwirkungsrechte gemäss BGE 137 V 210 zu beachten. Ergänzend zur eingehenden Feststellung der gesundheitlichen Einschränkungen, deren Auswirkungen auf die Arbeitsfähigkeit und der Eingliederungsfähigkeit wird die Vorinstanz zudem die Statusfrage zu überprüfen haben, bevor sie einen neuen Entscheid trifft.</w:t>
      </w:r>
    </w:p>
    <w:p>
      <w:r>
        <w:rPr>
          <w:b/>
        </w:rPr>
        <w:t>E. 10.2</w:t>
      </w:r>
    </w:p>
    <w:p>
      <w:r>
        <w:t>Eine Rückweisung an die IV-Stelle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w:t>
      </w:r>
    </w:p>
    <w:p>
      <w:r>
        <w:rPr>
          <w:b/>
        </w:rPr>
        <w:t>E. 10.3</w:t>
      </w:r>
    </w:p>
    <w:p>
      <w:r>
        <w:t>Die Beschwerde ist somit insoweit gutzuheissen, als die angefochtene Verfügung aufzuheben und die Sache im Sinne der Erwägung 10.1 zur Durchführung weiterer ergänzender Abklärungen und anschliessendem Erlass eines neuen Entscheids an die Vorinstanz zurückzuweisen ist (Art. 61 Abs. 1 VwVG).</w:t>
      </w:r>
    </w:p>
    <w:p>
      <w:r>
        <w:rPr>
          <w:b/>
        </w:rPr>
        <w:t>E. 11</w:t>
      </w:r>
    </w:p>
    <w:p>
      <w:r>
        <w:t>Zu befinden bleibt über die Verfahrenskosten und eine allfällige Parteientschädigung.</w:t>
      </w:r>
    </w:p>
    <w:p>
      <w:r>
        <w:rPr>
          <w:b/>
        </w:rPr>
        <w:t>E. 11.1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ist ihm nach Eintritt der Rechtskraft dieses Urteils auf ein von ihm zu bezeichnendes Konto zurückzuerstatten. Der Vorinstanz sind ebenfalls keine Verfahrenskosten aufzuerlegen (Art. 63 Abs. 2 VwVG).</w:t>
      </w:r>
    </w:p>
    <w:p>
      <w:r>
        <w:rPr>
          <w:b/>
        </w:rPr>
        <w:t>E. 11.2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Der Beschwerdeführer hat keine Kostennote eingereicht. In Berücksichtigung des als notwendig zu erachtenden Aufwands ist ihm eine Parteientschädigung in Höhe von Fr. 2'800.- (inkl. Auslagen; ohne Mehrwertsteuer, die bei Versicherten im Ausland nicht geschuldet ist) auszurichten.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