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C-3770/2007 vom 13. Januar 2008</w:t>
      </w:r>
    </w:p>
    <w:p>
      <w:r>
        <w:t>Bundesverwaltungsgericht, 2008-01-13, DE</w:t>
      </w:r>
    </w:p>
    <w:p>
      <w:r>
        <w:rPr>
          <w:b/>
        </w:rPr>
        <w:t xml:space="preserve">Quelle: </w:t>
      </w:r>
      <w:r>
        <w:t>https://mcp.opencaselaw.ch/entscheid/bvger_C-3770_2007</w:t>
      </w:r>
    </w:p>
    <w:p>
      <w:r>
        <w:t>FR: TAF C-3770/2007 du 13 janvier 2008</w:t>
      </w:r>
    </w:p>
    <w:p>
      <w:r>
        <w:t>IT: TAF C-3770/2007 del 13 gennaio 2008</w:t>
      </w:r>
    </w:p>
    <w:p>
      <w:pPr>
        <w:pStyle w:val="Heading2"/>
      </w:pPr>
      <w:r>
        <w:t>Regeste</w:t>
      </w:r>
    </w:p>
    <w:p>
      <w:r>
        <w:t>Finanzhilfen für familienergänzende Kinderbetreuung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nach Art. 2 Abs. 1 Bst. a und Art. 6 Abs. 3 des Bundesgesetzes über Finanzhilfen für familienergänzende Kinderbetreuung in Verbindung mit Art. 33 Bst. d VGG die Verfügungen des Bundesamtes für Sozialversicherung betreffend Finanzhilfen für familienergänzende Kinderbetreuung.</w:t>
      </w:r>
    </w:p>
    <w:p>
      <w:r>
        <w:rPr>
          <w:b/>
        </w:rPr>
        <w:t>E. 1.2</w:t>
      </w:r>
    </w:p>
    <w:p>
      <w:r>
        <w:t>Der Beschwerdeführer hat am vorinstanzlichen Verfahren teilgenommen (Art. 48 Abs. 1 Bst. a VwVG), er ist durch die angefochtene Verfügung besonders berührt und hat ein schutzwürdiges Interesse an deren Anfechtung (Art. 48 Abs. 1 Bst. b und c VwVG). Er ist daher zur Beschwerde legitimiert.</w:t>
      </w:r>
    </w:p>
    <w:p>
      <w:r>
        <w:rPr>
          <w:b/>
        </w:rPr>
        <w:t>E. 1.3</w:t>
      </w:r>
    </w:p>
    <w:p>
      <w:r>
        <w:t>Auf die im Übrigen form- und fristgerecht eingereichte Beschwerde ist daher, nachdem auch der verlangte Kostenvorschuss rechtzeitig einbezahlt wurde, einzutreten.</w:t>
      </w:r>
    </w:p>
    <w:p>
      <w:r>
        <w:rPr>
          <w:b/>
        </w:rPr>
        <w:t>E. 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w:t>
      </w:r>
    </w:p>
    <w:p>
      <w:r>
        <w:rPr>
          <w:b/>
        </w:rPr>
        <w:t>E. 3.1</w:t>
      </w:r>
    </w:p>
    <w:p>
      <w:r>
        <w:t>Nach Art. 1 Abs. 1 des Bundesgesetzes über Finanzhilfen für familienergänzende Kinderbetreuung richtet der Bund im Rahmen der bewilligten Kredite (vgl. Art. 4) Finanzhilfen zur Schaffung von familienergänzenden Betreuungsplätzen für Kinder aus, damit die Eltern Familie und Arbeit oder Ausbildung besser vereinbaren können. Voraussetzung des Bundesbeitrags bildet eine angemessene Beteiligung der Kantone, der öffentlichrechtlichen Gebietskörperschaften, der Arbeitgeber oder anderer Dritter (Art. 1 Abs. 2).</w:t>
      </w:r>
    </w:p>
    <w:p>
      <w:r>
        <w:rPr>
          <w:b/>
        </w:rPr>
        <w:t>E. 3.2</w:t>
      </w:r>
    </w:p>
    <w:p>
      <w:r>
        <w:t>Die Empfänger der Finanzhilfen werden in Art. 2 des Bundesgesetzes genannt. Nach Art. 2 Abs. 1 Bst. a können Finanzhilfen insbesondere an Kindertagesstätten ausgerichtet werden. Gemäss Art. 2 Abs. 2 des Bundesgesetzes werden in erster Linie Finanzhilfen an neue Institutionen ausgerichtet. Sie können aber auch bestehenden Institutionen gewährt werden, wenn diese ihr Angebot wesentlich erhöhen. Vorliegend ist strittig, ob eine wesentliche Erhöhung des Angebots vorliegt, und ob das Gesuch - wie in Art. 6 Abs. 2. des Bundesgesetzes gefordert - vor der Erhöhung des Angebots eingereicht wurde.</w:t>
      </w:r>
    </w:p>
    <w:p>
      <w:r>
        <w:rPr>
          <w:b/>
        </w:rPr>
        <w:t>E. 3.3</w:t>
      </w:r>
    </w:p>
    <w:p>
      <w:r>
        <w:t>Nicht strittig sind dagegen die weiteren Voraussetzungen gemäss Art. 3 des Bundesgesetzes.</w:t>
      </w:r>
    </w:p>
    <w:p>
      <w:r>
        <w:rPr>
          <w:b/>
        </w:rPr>
        <w:t>E. 4</w:t>
      </w:r>
    </w:p>
    <w:p>
      <w:r>
        <w:t>Streitig ist vorliegend vorerst, ob auf das Gesuch um Finanzhilfe einzutreten war, obwohl die Erhöhung des Angebots im Zeitpunkt der Gesuchstellung bereits realisiert war. Im Weiteren ist - wie bereits dargelegt - strittig, ob eine wesentliche Erhöhung des Angebots vorliegt, und - sofern letzteres verneint wird - ob dem Gesuch dennoch, aufgrund des Vertrauensgrundsatzes, zu entsprechen ist.</w:t>
      </w:r>
    </w:p>
    <w:p>
      <w:r>
        <w:rPr>
          <w:b/>
        </w:rPr>
        <w:t>E. 5.1</w:t>
      </w:r>
    </w:p>
    <w:p>
      <w:r>
        <w:t>Nach Art. 6 Abs. 1 des Bundesgesetzes über Finanzhilfen für familienergänzende Kinderbetreuung sind Gesuche betreffend Kindertagesstätten und Einrichtungen für die schulergänzende Betreuung beim BSV einzureichen, und zwar vor der Betriebsaufnahme der Institution oder vor der Erhöhung des Angebots (Art. 6 Abs. 2).</w:t>
      </w:r>
    </w:p>
    <w:p>
      <w:r>
        <w:rPr>
          <w:b/>
        </w:rPr>
        <w:t>E. 5.2</w:t>
      </w:r>
    </w:p>
    <w:p>
      <w:r>
        <w:t>Diese Regelung entspricht jener von Art. 26 des Bundesgesetzes vom 5. Oktober 1990 über Finanzhilfen und Abgeltungen (SuG, SR 616.1). Nach dieser Bestimmung mit dem Marginale "Baubeginn und Anschaffungen" darf der Gesuchsteller erst mit dem Bau beginnen oder grössere Anschaffungen tätigen, wenn ihm die Finanzhilfe oder Abgeltung endgültig oder dem Grundsatz nach zugesichert worden ist oder wenn ihm die zuständige Behörde dafür die Bewilligung erteilt hat (Art. 26 Abs. 1 SuG).</w:t>
      </w:r>
    </w:p>
    <w:p>
      <w:r>
        <w:rPr>
          <w:b/>
        </w:rPr>
        <w:t>E. 5.2.1</w:t>
      </w:r>
    </w:p>
    <w:p>
      <w:r>
        <w:t>Als Zusicherung beziehungsweise Erteilung einer Bewilligung gilt nach allgemeiner Rechtsauffassung ein förmlicher Entscheid, nicht aber das blosse Schweigen nach Erhalt von Informationen, welche - ohne rechtliche Verbindlichkeit - auf einen bestimmten Sachverhalt hinweisen. Eine solche Zusicherung oder Bewilligung liegt hier nicht vor.</w:t>
      </w:r>
    </w:p>
    <w:p>
      <w:r>
        <w:rPr>
          <w:b/>
        </w:rPr>
        <w:t>E. 5.2.2</w:t>
      </w:r>
    </w:p>
    <w:p>
      <w:r>
        <w:t>Die zuständige Behörde kann im Übrigen eine Bewilligung zu einer nachträglichen Gesuchseinreichung erteilen, wenn es mit schwerwiegenden Nachteilen verbunden wäre, das Ergebnis der Prüfung der Gesuchsunterlagen abzuwarten; eine solche Bewilligung gibt indes keinen Anspruch auf die Finanzhilfe oder Abgeltung (Art. 26 Abs. 2 SuG). Beginnt der Gesuchsteller in diesem Fall ohne Bewilligung mit dem Bau oder tätigt er Anschaffungen, so werden ihm keine Leistungen gewährt.</w:t>
      </w:r>
    </w:p>
    <w:p>
      <w:r>
        <w:rPr>
          <w:b/>
        </w:rPr>
        <w:t>E. 5.2.3</w:t>
      </w:r>
    </w:p>
    <w:p>
      <w:r>
        <w:t>Art. 10 Abs. 2 der Verordnung regelt in Ergänzung von Art. 26 SuG, dass die vollständigen Beitragsgesuche spätestens 12 Wochen vor der Betriebsaufnahme der Institution, vor der Erhöhung des Angebots oder vor Durchführung der entsprechenden Massnahme beim BSV einzureichen sind. Verlängerungen der Frist sind nur möglich, wenn das Gesuch vor Ablauf der normalen Einreichungsfrist gestellt wird.</w:t>
      </w:r>
    </w:p>
    <w:p>
      <w:r>
        <w:rPr>
          <w:b/>
        </w:rPr>
        <w:t>E. 5.2.4</w:t>
      </w:r>
    </w:p>
    <w:p>
      <w:r>
        <w:t>Der Beschwerdeführer hat dem BSV in Jahresberichten Informationen über einen geplanten Ausbau der Kindertagesstätte geliefert und das BSV telefonisch und in einem E-Mail darauf angesprochen. Da alle diese Informationen oder Anfragen nie als Antrag zu verstehen waren, bestand für das BSV nach Überzeugung des Bundesverwaltungsgerichts kein Anlass, den Beschwerdeführer auf die Regelung von Art. 6 des Bundesgesetzes hinzuweisen. Die erwähnten Informationen oder Anfragen betrafen den geplanten Ausbau der Kindertagesstätte, wobei Angaben über einen konkreten Ausbautermin fehlten. Das Gesuch vom 30. Dezember 2006 um Finanzhilfe für den Ausbau der Kindertagesstätte (Vorakten, A2) spricht klar von einer Erweiterung des Angebots per 1. Mai 2007; ein Hinweis auf den laufenden Testbetrieb fehlt. In den dem Gesuch beigelegten Betriebsbewilligungen (Vorakten, A3 u. A4) - sowohl der provisorischen wie der definitiven - werden zwar die Pläne zur Erweiterung des Angebots dargelegt, doch wird auch hier noch von Plänen gesprochen. Es wird zwar darauf hingewiesen, dass per 1. Dezember 2006 im Hinblick auf das zusätzliche Angebot eine zusätzliche Kleinkindererzieherin angestellt werde, doch stammt diese Information nicht von der Beschwerdeführerin, sondern bildet Bestandteil von Betriebsbewilligungen.</w:t>
      </w:r>
    </w:p>
    <w:p>
      <w:r>
        <w:rPr>
          <w:b/>
        </w:rPr>
        <w:t>E. 5.2.5</w:t>
      </w:r>
    </w:p>
    <w:p>
      <w:r>
        <w:t>im Folgenden ist zu prüfen, ob und gegebenenfalls in welchem Zeitpunkt das BSV aufgrund dieses Sachverhalts nach Treu und Glauben gehalten gewesen wäre, den Beschwerdeführer auf die vorne dargelegte Rechtslage hinsichtlich des Zeitpunkts der Gesuchseinreichung hinzuweisen.</w:t>
      </w:r>
    </w:p>
    <w:p>
      <w:r>
        <w:rPr>
          <w:b/>
        </w:rPr>
        <w:t>E. 5.3</w:t>
      </w:r>
    </w:p>
    <w:p>
      <w:r>
        <w:t>Der Anspruch auf Behandlung nach Treu und Glauben umfasst einerseits den Vertrauensschutz und andererseits das Verbot des Rechtsmissbrauchs (Christoph Rohner, in: Bernhard Ehrenzeller/Philippe Mastronardi/Rainer J. Schweizer/Klaus A. Vallender, Die schweizerische Bundesverfassung - Kommentar, Zürich 2002, N. 45 zu Art. 9). Der Vertrauensschutz wurde vormals aus Art. 4 aBV abgeleitet und ist nunmehr in seiner spezifisch grundrechtlichen Ausprägung (vgl. Botschaft des Bundesrates über eine neue Bundesverfassung vom 20. November 1996, BBl 1997 I 134) in Art. 9 BV verankert. Wie das Bundesgericht konkretisiert hat, verleiht der in Art. 9 BV enthaltene Grundsatz von Treu und Glauben Anspruch auf Schutz des berechtigten Vertrauens in behördliche Zusicherungen oder sonstiges, bestimmte Erwartungen begründendes Verhalten der Behörden (BGE 126 II 377 E. 3a S. 387; 122 II 113 E. 3b/cc S. 123, je mit Hinweisen). Vorliegend geht es nicht um eine ausdrückliche falsche Auskunft seitens des BSV, so dass nicht zu prüfen ist, ob die entsprechenden Voraussetzungen für eine Berufung auf den Grundsatz von Treu und Glauben erfüllt sind (vgl. dazu BGE 116 V 298). Geltend gemacht wird, dass das BSV aufgrund von Telefonaten, Mailverkehr und des Inhalts von Beilagen zum Gesuch um Finanzhilfe die Erwartung begründet habe, dass kein Anlass bestehe, dass die laufende Erweiterung den Erhalt einer Finanzhilfe in Frage stellen könnte. Das Schweigen beziehungsweise die Unterlassung eines sofortigen Hinweises auf die Rechtslage stellt hier indes angesichts der klaren Angabe im Gesuch, dass die Erweiterung erst per 1. Mai 2007 erfolge, kein solches konkretes und bestimmte Erwartungen begründendes Verhalten dar. Die Voraussetzungen für eine Berufung auf Treu und Glauben sind daher nicht erfüllt.</w:t>
      </w:r>
    </w:p>
    <w:p>
      <w:r>
        <w:rPr>
          <w:b/>
        </w:rPr>
        <w:t>E. 5.4</w:t>
      </w:r>
    </w:p>
    <w:p>
      <w:r>
        <w:t>Das BSV war daher berechtigt, das Gesuch um Finanzhilfe bereits aus diesem Grund abzuweisen beziehungsweise recte auf das Gesuch um Finanzhilfe nicht einzutreten.</w:t>
      </w:r>
    </w:p>
    <w:p>
      <w:r>
        <w:rPr>
          <w:b/>
        </w:rPr>
        <w:t>E. 6</w:t>
      </w:r>
    </w:p>
    <w:p>
      <w:r>
        <w:t>Als weiteren Grund für die Abweisung hat das BSV angegeben, dass keine wesentliche Erhöhung des Angebots im Sinne von Art. 2 Abs. 2 des Bundesgesetzes vorliege.</w:t>
      </w:r>
    </w:p>
    <w:p>
      <w:r>
        <w:rPr>
          <w:b/>
        </w:rPr>
        <w:t>E. 6.1</w:t>
      </w:r>
    </w:p>
    <w:p>
      <w:r>
        <w:t>Nach Artikel 2 Abs. 3 der gemäss Art. 9 des Bundesgesetzes erlassenen Verordnung gilt als wesentliche Erhöhung des Angebots einer Kindertagesstätte: "a. eine Erhöhung der Anzahl der Plätze um einen Drittel, mindestens aber um 10 Plätze; oder b. eine Ausdehnung der Öffnungszeiten um einen Drittel, mindestens aber um 375 Stunden pro Jahr."</w:t>
      </w:r>
    </w:p>
    <w:p>
      <w:r>
        <w:rPr>
          <w:b/>
        </w:rPr>
        <w:t>E. 6.2</w:t>
      </w:r>
    </w:p>
    <w:p>
      <w:r>
        <w:t>Vorliegend ist nicht streitig, dass die Voraussetzung von Bst. b nicht erfüllt ist. Zu prüfen ist bloss, ob die Anzahl der Plätze um einen Drittel, mindestens aber um 10 Plätze erhöht wurde. Diese Frage ist allein nach Massgabe des Bundesrechts zu prüfen, weshalb ohne Belang ist, dass Babyplätze im Kanton Zürich mit dem Faktor 1.5 gewichtet werden. Da unstreitig 8 Babyplätze geschaffen wurden, ergibt sich ohne Gewichtung dieser Plätze ohne weiteres, dass das Finanzgesuch auch aus diesem Grunde abzuweisen ist, weil die in der Verordnung statuierten Voraussetzungen einer wesentlichen Erhöhung des Angebots nicht vorlagen.</w:t>
      </w:r>
    </w:p>
    <w:p>
      <w:r>
        <w:rPr>
          <w:b/>
        </w:rPr>
        <w:t>E. 6.3</w:t>
      </w:r>
    </w:p>
    <w:p>
      <w:r>
        <w:t>Angesichts der klaren Regelung in der Verordnung und des Umstands, dass diese Gewichtung den Gesuchsakten, wenn überhaupt, so nur indirekt zu entnehmen war, ist eine Berufung auf den Vertrauensschutz auch hier unbehelflich.</w:t>
      </w:r>
    </w:p>
    <w:p>
      <w:r>
        <w:rPr>
          <w:b/>
        </w:rPr>
        <w:t>E. 7.1</w:t>
      </w:r>
    </w:p>
    <w:p>
      <w:r>
        <w:t>Die Beschwerde ist daher abzuweisen.</w:t>
      </w:r>
    </w:p>
    <w:p>
      <w:r>
        <w:rPr>
          <w:b/>
        </w:rPr>
        <w:t>E. 7.2</w:t>
      </w:r>
    </w:p>
    <w:p>
      <w:r>
        <w:t>Als unterliegende Partei hat der Beschwerdeführer die Verfahrenskosten von Fr. 500.- zu tragen, welche mit dem geleisteten Kostenvorschuss in gleicher Höhe verrechnet werden (Art. 63 Abs. 1 VwVG).</w:t>
      </w:r>
    </w:p>
    <w:p>
      <w:r>
        <w:rPr>
          <w:b/>
        </w:rPr>
        <w:t>E. 7.3</w:t>
      </w:r>
    </w:p>
    <w:p>
      <w:r>
        <w:t>Der obsiegenden Vorinstanz ist keine Parteientschädigung auszurichten (Art. 7 Abs. 3 des Reglements vom 11. Dezember 2006 über die Kosten und Entschädigungen vor dem Bundesverwaltungsgericht [VGKE], SR 173.320.2). Dem unterliegenden Beschwerdeführer, dem im Übrigen keine notwendigen und verhältnismässig hohen Kosten erwachsen sind, hat ohnehin nicht Anspruch auf eine Parteientschädigung (Art. 64 Abs. 1 VwVG).</w:t>
      </w:r>
    </w:p>
    <w:p>
      <w:r>
        <w:rPr>
          <w:b/>
        </w:rPr>
        <w:t>E. 8</w:t>
      </w:r>
    </w:p>
    <w:p>
      <w:r>
        <w:t>Gemäss Art. 83 Bst. k des Bundesgerichtsgesetzes vom 17. Juni 2005 (BGG, SR 173.110) ist die Beschwerde an das Bundesgericht gegen Entscheide betreffend Subventionen, auf die kein Anspruch besteht,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