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C-3766/2011 vom 6. Juni 2013</w:t>
      </w:r>
    </w:p>
    <w:p>
      <w:r>
        <w:t>Bundesverwaltungsgericht, 2013-06-06, FR</w:t>
      </w:r>
    </w:p>
    <w:p>
      <w:r>
        <w:rPr>
          <w:b/>
        </w:rPr>
        <w:t xml:space="preserve">Quelle: </w:t>
      </w:r>
      <w:r>
        <w:t>https://mcp.opencaselaw.ch/entscheid/bvger_C-3766_2011</w:t>
      </w:r>
    </w:p>
    <w:p>
      <w:r>
        <w:t>FR: TAF C-3766/2011 du 6 juin 2013</w:t>
      </w:r>
    </w:p>
    <w:p>
      <w:r>
        <w:t>IT: TAF C-3766/2011 del 6 giugno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w:t>
      </w:r>
    </w:p>
    <w:p>
      <w:r>
        <w:rPr>
          <w:b/>
        </w:rPr>
        <w:t>E. 3</w:t>
      </w:r>
    </w:p>
    <w:p>
      <w:r>
        <w:t>Dans un grief d'ordre formel qu'il convient d'examiner en premier lieu, le recourant se plaint d'une violation de son droit d'être entendu (art. 29 al. 2 de la Constitution fédérale de la Confédération suisse du 18 avril 1999 [Cst., RS 101]). Il fait grief à l'autorité intimée de ne pas avoir procédé à l'audition de son épouse et de s'être basée sur des informations tenues pour confidentielles dont l'accès lui a été refusé.</w:t>
      </w:r>
    </w:p>
    <w:p>
      <w:r>
        <w:rPr>
          <w:b/>
        </w:rPr>
        <w:t>E. 3.1</w:t>
      </w:r>
    </w:p>
    <w:p>
      <w:r>
        <w:t>Le droit d'être entendu, dont la garantie se trouve inscrite à l'art. 29 al. 2 Cst.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p. 190, ATF 133 I 270 consid. 3.1 p. 277, ATF 132 V 368 consid. 3.1 p. 370s., ATF 132 II 485 consid. 3.2 p. 494, ATF 129 II 497 consid. 2.2 p. 504s. et réf.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w:t>
      </w:r>
    </w:p>
    <w:p>
      <w:r>
        <w:rPr>
          <w:b/>
        </w:rPr>
        <w:t>E. 3.2</w:t>
      </w:r>
    </w:p>
    <w:p>
      <w:r>
        <w:t>S'agissant du grief relatif aux informations tenues par l'ODM pour confidentielles et dont l'accès a été refusé au recourant, il sied de préciser que le droit à la consultation des pièces peut être limité lorsque des intérêts publics ou privés importants exigent que le secret soit gardé (cf. art. 26 et 27 PA; ATF 121 I 225 consid. 2 p. 227 ss).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 arrêt du Tribunal fédéral 5A.22/2006 du 13 juillet 2006 consid. 3.1 et jurisprudence citée). En l'espèce, par courrier du 29 avril 2010, l'ODM a porté à la connaissance du recourant que le dossier fédéral contenait des pièces qui relevaient de l'art. 27 al. 1 PA. L'office fédéral a spécifié que les informations en question faisaient état de ce que l'intéressé avait eu un comportement violent et menaçant dans le cadre de son union conjugale et qu'il n'avait pas eu l'intention de fonder un foyer lors de son premier mariage. L'occasion lui a été donnée de se déterminer à ce propos. Cela étant, compte tenu du fait que, concrètement, ces informations n'apparaissent pas décisives eu égard à l'examen des faits pertinents sous l'angle de la présomption selon laquelle la naturalisation a été obtenue frauduleusement (cf. infra consid. 5.2.1 ss), le Tribunal est d'avis que le grief de violation des art. 26 à 28 PA tombe à faux (cf. en ce sens arrêts du Tribunal fédéral 1C_326/2009 du 5 février 2010 consid. 2, 5A.22/2006 précité consid. 3.2 et 5A.7/2003 du 25 août 2003 consid. 2.2; cf. ATF 126 I 15 consid. 2a/aa p. 16; 122 I 53 consid. 4a p. 55; 119 Ia 134 consid. 2d p. 139; 117 II 630 consid. 2b non publié; 109 Ia 217 consid. 5b p. 233/234). En effet, le recours doit de toute manière être rejeté pour les motifs exposés ci-après (cf. arrêt du Tribunal fédéral 5A.22/2006 précité consid. 3.2 et jurisprudence citée), de sorte qu'il n'est pas nécessaire de tenir compte des informations en question.</w:t>
      </w:r>
    </w:p>
    <w:p>
      <w:r>
        <w:rPr>
          <w:b/>
        </w:rPr>
        <w:t>E. 3.3</w:t>
      </w:r>
    </w:p>
    <w:p>
      <w:r>
        <w:t>S'agissant du grief de la violation du droit de l'intéressé de faire administrer des preuves pertinentes, dès lors que l'ODM n'a pas donné suite à sa requête tendant à l'audition de son ex-épouse, il importe tout d'abord de rappeler que la procédure en matière de recours administratif est en principe écrite. Il n'est ainsi procédé à l'audition de parties ou de témoins que si de telles mesures d'instruction paraissent indispensables à l'établissement des faits de la cause (art. 14 al. 1 let. c PA). En outre, l'art. 20 Cst. n'implique pas le droit d'une partie d'exiger d'être entendue oralement par l'autorité de décision (ATF 122 II 464 consid. 4c p. 469; arrêt 2P.205/2006 du 19 décembre 2006 consid. 2.2 in SJ 2007 I p. 405), ni celui d'obtenir l'audition de témoins (ATF 130 II 425 consid. 2.1 p. 428/429).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p. 429 et la jurisprudence citée). En l'occurrence, comme exposé ci-après, le Tribunal considère que les éléments essentiels sur lesquels l'ODM a fondé son appréciation ressortent clairement du dossier et ne nécessitaient donc aucun complément d'instruction. En outre, ladite autorité a pris contact, par écrit du 25 octobre 2010, avec les personnes mentionnées par l'intéressé en les invitant, en tant que tiers appelés à fournir des renseignements, à faire part de leurs éventuelles observations au sujet du mariage du prénommé avec Y.________.</w:t>
      </w:r>
    </w:p>
    <w:p>
      <w:r>
        <w:rPr>
          <w:b/>
        </w:rPr>
        <w:t>E. 3.4</w:t>
      </w:r>
    </w:p>
    <w:p>
      <w:r>
        <w:t>Il s'ensuit que le grief tiré de la violation du droit d'être entendu doit être rejeté.</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5.1 Conformément à l'art. 41 LN, l'ODM peut, avec l'assentiment de l'autorité du canton d'origine, annuler dans le délai légal une naturalisation facilitée obtenue par des déclarations mensongères ou par la dissimulation de faits essentiels et qui n'aurait pas été accordée si ces faits avaient été connus.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5.2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5.2.1 La procédure administrative fédérale est régie par le principe de la libre appréciation des preuves (art. 40 PCF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5.2.2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du 10 juillet 2012 consid. 4.1.2, ainsi que les réf. citées).</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le 28 décembre 2006 au recourant a été annulée par l'autorité inférieure en date du 3 juin 2011, soit avant l'échéance du délai péremptoire prévu par la disposition légale, avec l'assentiment de l'autorité compétente des cantons d'origine (Fribourg et Neuchâtel).</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rapide des événements fondait la présomption de fait qu'X.________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7.2</w:t>
      </w:r>
    </w:p>
    <w:p>
      <w:r>
        <w:t>Ainsi, il est à relever que, selon les déclarations de l'intéressé, il a fait connaissance d'Y.________ à A.________ en automne 2001 (cf. courrier du 3 décembre 2010 et mémoire de recours, p. 2), alors qu'il faisait déjà l'objet d'une décision de refus d'asile et de renvoi de Suisse prononcée le 8 février 2000 par l'ODM et qu'un délai lui avait été fixé au 31 mai 2000 pour quitter la Suisse (cf. consid. A). Après avoir déposé une demande de visa auprès de la Représentation de Suisse afin de venir se marier en ce pays, le mariage des intéressés a été célébré dans le canton de Neuchâtel, le 8 novembre 2002. Son séjour sur territoire helvétique ayant été réglé du fait de son statut d'époux d'une ressortissante suisse, l'intéressé a déposé, le 28 mai 2006, une demande de naturalisation facilitée. Le 4 décembre 2006, le prénommé et son épouse ont signé la déclaration relative à la stabilité de leur mariage. Le 28 décembre 2006, la naturalisation facilitée a été octroyée au recourant. Le 4 octobre 2008, les intéressé ont déposé une requête commune de divorce auprès du Tribunal civil du district de Neuchâtel, lequel, par jugement du 30 janvier 2009 entré en force le 25 février 2009, a prononcé la dissolution du lien matrimonial. Le Tribunal relève qu'entre l'octroi de la naturalisation facilitée (28 décembre 2006) et la fin de la communauté conjugale (dépôt de la demande commune en divorce [4 octobre 2008]), il s'est écoulé vingt-et-un mois, ce qui au vu de la jurisprudence (cf. en ce sens arrêt du Tribunal fédéral 1C_172/2012 du 11 mai 2012, consid. 2.3 et jurisprudence citée), est de nature à fonder la présomption que cette naturalisation a été obtenue de manière frauduleuse.</w:t>
      </w:r>
    </w:p>
    <w:p>
      <w:r>
        <w:rPr>
          <w:b/>
        </w:rPr>
        <w:t>E. 7.3</w:t>
      </w:r>
    </w:p>
    <w:p>
      <w:r>
        <w:t>La présomption de fait fondée sur la chronologie relativement rapide des événements est corroborée au demeurant par les éléments suivants.</w:t>
      </w:r>
    </w:p>
    <w:p>
      <w:r>
        <w:rPr>
          <w:b/>
        </w:rPr>
        <w:t>E. 7.3.1</w:t>
      </w:r>
    </w:p>
    <w:p>
      <w:r>
        <w:t>Le Tribunal constate ainsi qu'à l'époque (automne 2001) où le recourant a rencontré en Suisse Y.________, il n'était au bénéfice d'aucune autorisation de séjour et faisait l'objet d'une décision de refus d'asile et de renvoi de Suisse, un délai pour quitter ce pays lui ayant été fixé au 31 mai 2000. A cela s'ajoute le fait qu'aucun recours n'a été interjeté contre cette décision et que l'intéressé a été considéré comme disparu dès le 1er juin 2000 par les autorités compétentes chargées de l'exécution de son renvoi de Suisse, de sorte que son séjour en Suisse postérieurement à cette date était illégal.</w:t>
      </w:r>
    </w:p>
    <w:p>
      <w:r>
        <w:rPr>
          <w:b/>
        </w:rPr>
        <w:t>E. 7.3.2</w:t>
      </w:r>
    </w:p>
    <w:p>
      <w:r>
        <w:t>Le Tribunal relève que les conditions de séjour du recourant en Suisse n'ont été réglées que suite à son mariage en novembre 2002 avec une ressortissante suisse et qu'il avait quitté le territoire helvétique suite au rejet de sa demande d'asile, comme il l'affirme dans ses observations du 15 janvier 2010, certes de son "plein gré", mais toutefois hors du délai imparti par les autorités fédérales (cf. décision de l'ODM du 8 février 2000).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le recourant et son ex-épouse plus âgée (16 ans) constitue un indice du défaut de volonté de former une véritable union conjugale (cf. en ce sens arrêt du tribunal fédéral 2C_339/2008 du 9 juin 2008 consid. 3.2). Même si les différences culturelles ou religieuses des intéressés semblent n'avoir joué aucun rôle durant le mariage, il apparaît peu vraisemblable, au vu des éléments relevés ci-après (cf. infra consid. 8), que le recourant ait pu avoir, dans ces circonstances, la conviction que sa communauté matrimoniale était stable, effective et tournée vers l'avenir au moment de la déclaration écrite du 4 décembre 2006. Aussi l'assertion contenue dans le recours (cf. p. 9) selon laquelle le recourant avait l'intention de maintenir une union stable avec sa conjointe au moment où il a signé la déclaration commune est-elle fortement sujette à caution. Pareille opinion est du reste corroborée, d'une part, par le nouveau mariage conclu par le recourant le 16 avril 2010 avec une ressortissante kosovare et, d'autre part, par la célérité avec laquelle il a rencontré sa nouvelle fiancée après son divorce (mars 2009) et s'est fiancé (juillet 2009), avant d'entamer les démarches en vue du regroupement familial (cf. demande de visa du 13 août 2009), soit moins de six mois après l'entrée en force du jugement de divorce le 25 février 2009. Au demeurant, le fait que le recourant n'ait rencontré sa nouvelle épouse qu'après son divorce (cf. lettre du 26 février 2010) est sans pertinence dans ce contexte, puisque l'intéressé ne s'est jamais opposé à son divorce. En effet, les époux ont bien déposé une requête commune de divorce, ce qui signifie que le recourant n'a tenté de sauver son mariage ni lors de la séance de conciliation prévue durant la procédure de divorce, ni d'une quelconque autre manière. Ce défaut manifeste de volonté de sauver une union qui était prétendument encore effective et tournée vers l'avenir et cette précipitation à voir aboutir la procédure de divorce semblent bien plutôt confirmer que le couple n'avait plus l'intention de maintenir une communauté conjugale déjà durant la période précédant l'octroi de la naturalisation facilitée. Au surplus, le Tribunal relève encore que l'intéressé "a consacré l'essentiel de ses revenus à aider financièrement sa famille au Kosovo et, ainsi, participé à la construction de trois maisons. Il n'a ainsi guère contribué au paiement des charges du ménage" (cf. convention réglant les effets accessoires du divorce, p. 4, signée le 4 octobre 2008 par le recourant). Ceci renforce l'opinion selon laquelle ce dernier n'attachait pas une importance primordiale à l'entretien de sa propre union.</w:t>
      </w:r>
    </w:p>
    <w:p>
      <w:r>
        <w:rPr>
          <w:b/>
        </w:rPr>
        <w:t>E. 7.3.3</w:t>
      </w:r>
    </w:p>
    <w:p>
      <w:r>
        <w:t>Au vu de l'ensemble de ces éléments, il apparaît peu vraisemblable que l'intéressé ait pu avoir la conviction que sa communauté matrimoniale était stable, effective et tournée vers l'avenir au moment de la déclaration précitée, voire du prononcé de la décision de naturalisation facilitée.</w:t>
      </w:r>
    </w:p>
    <w:p>
      <w:r>
        <w:rPr>
          <w:b/>
        </w:rPr>
        <w:t>E. 8</w:t>
      </w:r>
    </w:p>
    <w:p>
      <w:r>
        <w:t>Conformément à la jurisprudence précitée (cf. consid. 5.2.1 et 5.2.2),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Le recourant invoque comme unique cause de la rupture soudaine du lien conjugal son envie de fonder une famille et d'avoir des enfants, envie qui aurait pour origine la naissance en 2007 de la fille d'un cousin et qui aurait été renforcée par la venue dans son ménage la même année d'un chiot (cf. lettre du 15 janvier 2010, mémoire de recours p. 3 et 8). S'agissant de la situation du couple avant le dépôt de la demande commune en divorce au mois d'octobre 2008, le Tribunal relève que le recourant a affirmé que son couple était "solide", "l'entente excellente", qu'il y avait "une très grande complicité entre les conjoints" (cf. mémoire de recours p. 8) et que seul le "désir de paternité" avait rendu la poursuite de leur relation impossible (cf. ibid.). Sur ce dernier point, X.________ a précisé qu'Y.________ était déjà mère de deux enfants (nés en 1985 et 1988), qu'elle ne souhaitait pas en avoir d'autres, désirant se consacrer à sa carrière professionnelle, qu'il avait donc joué le rôle de beau-père, ce qui lui convenait parfaitement et qu'ainsi, ils formaient une vraie famille (cf. lettre du 15 janvier 2010 et mémoire de recours p. 2). Les explications de l'intéressé ne convainquent pas: si le désir de paternité du recourant a effectivement été le motif essentiel de la rupture, on peine à croire qu'il soit survenu de manière inattendue et subite après cinq ans de mariage. Il n'est pas vraisemblable que ce désir subit ait été de nature à provoquer, à lui seul, la désunion du couple dans le laps de temps (21 mois) qui sépare la décision de naturalisation et l'ouverture de la procédure de divorce. En effet, les éventuelles difficultés qui peuvent surgir entre époux, après plusieurs années de vie commune, dans une communauté de vie effective, intacte et stable, n'entraînent la séparation, selon l'expérience générale, qu'au terme d'un processus prolongé de dégradation des rapports conjugaux, en principe entrecoupés de tentatives de réconciliation (cf. arrêts du Tribunal fédéral 1C_228/2009 du 31 août 2009 consid. 4, 5A.11/2006 du 27 juin 2006 consid. 4.1 et 5A.18/2003 du 19 novembre 2003 consid. 2.2). Le recourant ne saurait nier qu'au moment où il a épousé Y.________, il connaissait la situation familiale de sa conjointe et prétendre n'avoir pas connu les intentions de cette dernière concernant une descendance commune. Il ne pouvait donc ignorer que cette question deviendrait délicate, car en épousant une personne nettement plus âgée que lui (45 ans au moment du mariage), l'écoulement du temps allait accentuer encore la difficulté d'engendrer avec son épouse. Au mois de décembre 2006, après plus de quatre ans de mariage et alors que son épouse était âgée de 49 ans, il devait savoir que les perspectives d'avoir des enfants communs avec son épouse étaient considérablement réduites, voire nulles, de sorte qu'il n'aurait pas d'autre possibilité que de fonder une nouvelle famille s'il entendait assouvir son désir de paternité. Dès lors, vu ce qui précède, il apparaît peu vraisemblable que l'intéressé ait pu avoir la conviction que sa communauté matrimoniale était stable, effective et tournée vers l'avenir. Dans ces circonstances, l'affirmation du recourant selon laquelle il n'avait pas conscience de l'état de déliquescence de son union au moment de l'obtention de la naturalisation facilitée ne saurait être considérée comme un renversement de présomption au sens de la jurisprudence précitée. Même si le Tribunal n'entend pas mettre en cause les sentiments éprouvés par le recourant envers Y.________ lors de leur union, il ne saurait suivre cependant l'affirmation précitée du moins sous l'angle de la question de la paternité, qui est précisément le motif de l'échec de son union avec la prénommée. Dès lors, il n'est pas vraisemblable que le recourant ait pu ignorer les problèmes auxquels son couple était confronté au moment où il a signé la déclaration du 4 décembre 2006 au terme de laquelle il affirmait vivre avec son épouse sous la forme d'une communauté conjugale effective et stable tournée vers l'avenir.</w:t>
      </w:r>
    </w:p>
    <w:p>
      <w:r>
        <w:rPr>
          <w:b/>
        </w:rPr>
        <w:t>E. 9</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4 décembre 2006 et obtenu la naturalisation facilitée. Au vu du déroulement chronologique des faits et des autres éléments exposés ci-dessus, le Tribunal est amené, à défaut de contre-preuves pertinentes, à conclure que la communauté conjugale que le recourant formait avec son épouse n'était plus étroite et effective déjà au moment de la signature de la déclaration commune le 4 décembre 2006 et, à plus forte raison, au moment de l'octroi de la naturalisation, le 28 décembre 2006, et qu'il y a lieu de s'en tenir à la présomption de fait que la naturalisation facilitée a été obtenue de façon frauduleuse (cf. ATF 130 II 482). Partant, l'Office fédéral était parfaitement fondé à prononcer, avec l'assentiment du canton d'origine, l'annulation de cette naturalisation.</w:t>
      </w:r>
    </w:p>
    <w:p>
      <w:r>
        <w:rPr>
          <w:b/>
        </w:rPr>
        <w:t>E. 10</w:t>
      </w:r>
    </w:p>
    <w:p>
      <w:r>
        <w:t>Dans le cadre de la procédure de recours, X.________ a réitéré sa requête tendant à l'audition de son ex-épouse. En l'occurrence, le TAF estime que les faits de la cause sont suffisamment établis par les pièces figurant au dossier, de sorte qu'il ne s'avère pas indispensable de donner suite à la requête formulée par le recourant en vue de l'audition de son ex-épouse. En particulier, le TAF ne voit pas ce que des explications orales supplémentaires de la part de cette personne apporteraient dans la présente affaire, au vu des développements antérieurs. A noter qu'il figure au dossier une déposition écrite de l'ex-épouse (cf. lettre N ci-dessus) dans laquelle elle a indiqué qu'elle ne souhaitait pas s'exprimer sur son mariage et sur la période qui s'était déroulée durant la procédure de naturalisation. Pour le surplus, le Tribunal renvoie au consid. 3.3 du présent arrêt et estime que les éléments essentiels sur lesquels il a fondé son appréciation ressortent du dossier et ne nécessitent donc aucun complément d'instruction (sur cette problématique, cf. arrêt du Tribunal fédéral 1C_135/2009 du 17 juillet 2009 consid. 3.4 et jurisprudence citée, en particulier ATF 130 II 169 consid. 2.3.3).</w:t>
      </w:r>
    </w:p>
    <w:p>
      <w:r>
        <w:rPr>
          <w:b/>
        </w:rPr>
        <w:t>E. 11</w:t>
      </w:r>
    </w:p>
    <w:p>
      <w:r>
        <w:t>Il ressort de ce qui précède que, par sa décision du 3 juin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