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C-3752/2012 vom 7. Mai 2014</w:t>
      </w:r>
    </w:p>
    <w:p>
      <w:r>
        <w:t>Bundesverwaltungsgericht, 2014-05-07, DE</w:t>
      </w:r>
    </w:p>
    <w:p>
      <w:r>
        <w:rPr>
          <w:b/>
        </w:rPr>
        <w:t xml:space="preserve">Quelle: </w:t>
      </w:r>
      <w:r>
        <w:t>https://mcp.opencaselaw.ch/entscheid/bvger_C-3752_2012</w:t>
      </w:r>
    </w:p>
    <w:p>
      <w:r>
        <w:t>FR: TAF C-3752/2012 du 7 mai 2014</w:t>
      </w:r>
    </w:p>
    <w:p>
      <w:r>
        <w:t>IT: TAF C-3752/2012 del 7 maggio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Einreiseverbots eine Verfügung im erwähnten Sinne und daher ein zulässiges Anfechtungsobjekte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3.1</w:t>
      </w:r>
    </w:p>
    <w:p>
      <w:r>
        <w:t>Gemäss Art. 67 Abs. 1 AuG wird ein Einreiseverbot vom BFM unter Vorbehalt von Abs. 5 gegenüber weggewiesenen Ausländerinnen und Ausländern verfügt, wenn die Wegweisung nach Art. 64d Abs. 2 Bst. a - c AuG sofort vollstreckt wird (Bst. a) oder die betroffene Person der Ausreiseverpflichtung nicht innert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Einreiseverbot ist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Die Verhängung eines Einreiseverbots knüpft an das Bestehen eines Risikos einer künftigen Gefährdung an. Es ist jeweils im Einzelfall eine Prognose zu stellen. Dabei ist naturgemäss in erster Linie das vergangene Verhalten der betroffenen Person zu berücksichtigen, zumal dieses geeignet ist, einen Hinweis auf eine allfällige Gefährdung zu liefern. Deshalb verknüpft Art. 67 Abs. 2 Bst. a AuG die Verhängung einer Fernhaltemassnahme u.a. mit einem bereits erfolgten Verstoss gegen die fraglichen Polizeigüter. Art. 80 Abs. 1 der Verordnung vom 24. Oktober 2007 über Zulassung, Aufenthalt und Erwerbstätigkeit (VZAE, SR 142.201) konkretisiert den Begriff des «Verstosses» nach Art. 67 Abs. 2 Bst. a AuG und hält fest, dass u.a. eine Missachtung gesetzlicher Vorschriften und behördlicher Verfügungen dazu zählt (vgl. die Urteile des BVGer C 1875/2012 vom 11. November 2013 E. 5 sowie C-760/2012 vom 24. Juli 2013 E. 7.1 je mit Hinweisen).</w:t>
      </w:r>
    </w:p>
    <w:p>
      <w:r>
        <w:rPr>
          <w:b/>
        </w:rPr>
        <w:t>E. 4.1</w:t>
      </w:r>
    </w:p>
    <w:p>
      <w:r>
        <w:t>Wird gegen eine Person, die nicht das Bürgerrecht eines EU-Mitgliedstaates besitzt, ein Einreiseverbot verhängt, so wird diese nach Massgabe der Bedeutung des Falles im Schengener Informationssystem (SIS) zur Einreiseverweigerung ausgeschrieben (vgl. Art. 21 u. Art. 24 SIS-II-VO [ABl. L 381 vom 28. Dezember 2006, S. 4 23], in Kraft seit 9. April 2013, vgl. Beschluss des Rates 2013/158/EU vom 7. März 2013 [Abl. L 87 vom 27. März 2013, S. 10-11] i.V.m. Art. 52 Abs. 1 SIS-II-VO). Damit wird dem Betroffenen grundsätzlich die Einreise in das Hoheitsgebiet aller Schengen-Mitglied­staaten verboten (vgl. Art. 5 Abs. 1 Bst. d sowie Art. 13 Abs. 1 Schengener Grenzkodex [SGK, Abl. L 105 vom 13. April 2006, S. 1-32]). Die Mitgliedstaaten können dem Betroffenen aus wichtigen Gründen oder aufgrund in­ternationaler Verpflichtungen die Einreise in ihr Hoheitsgebiet gestatten bzw. ihm ein Schengen-Visum mit räumlich beschränkter Gül­tigkeit ausstellen (vgl. Art. 13 Abs. 1 i.V.m. Art. 5 Abs. 4 Bst. c SGK; Art. 25 Abs. 1 Bst. a [ii] Visakodex, Abl. L 243 vom 15. September 2009).</w:t>
      </w:r>
    </w:p>
    <w:p>
      <w:r>
        <w:rPr>
          <w:b/>
        </w:rPr>
        <w:t>E. 4.2</w:t>
      </w:r>
    </w:p>
    <w:p>
      <w:r>
        <w:t>Gemäss der Richtlinie 2008/115/EG vom 16. Dezember 2008 über gemeinsame Normen und Verfahren in den Mitgliedstaaten zur Rückführung illegal aufhältiger Drittstaatsangehöriger (Rückführungsrichtlinie, RFRL, ABl. L 348 vom 24. Dezember 2008, S. 98-107; vgl. zur Geltung und Anwendbarkeit der RFRL in der Schweiz Urteil des Bundesverwaltungsgerichts C-891/2012 vom 16. April 2013 E. 5.1 mit Hinweisen) geht bei illegal anwesenden Drittstaatsangehörigen eine Wegweisung, die sofort vollstreckt wird oder bei der die betroffene Person nicht fristgerecht ausgereist ist, in der Regel mit einem schengenweiten Einreiseverbot einher (vgl. Erwägungsgrund 14 RFRL sowie Art. 3 Ziff. 6 i.V.m. Art. 11 Abs. 1 RFRL). Davon kann nur in rechtfertigungsbedürftigen Ausnahmefällen abgesehen werden (vgl. Art. 11 Abs. 3 RFRL). Zur Umsetzung dieser Verpflichtung ist die betroffene Person im SIS zur Einreiseverweigerung auszuschreiben (s. vorne, E. 4.1; vgl. auch Urteil des BVGer C-4243/2012 vom 19. Juni 2013 E. 5.1).</w:t>
      </w:r>
    </w:p>
    <w:p>
      <w:r>
        <w:rPr>
          <w:b/>
        </w:rPr>
        <w:t>E. 5.1</w:t>
      </w:r>
    </w:p>
    <w:p>
      <w:r>
        <w:t>Mit Verfügung vom 13. Juni 2012 wurde der Beschwerdeführer gestützt auf Art. 64 AuG weggewiesen. Die Vollstreckung der Wegweisung erfolgte sofort, im Anschluss an die Entlassung aus der Haft (Art. 64d Abs. 2 AuG). Diese Verfügung erwuchs unangefochten in Rechtskraft, es ist folglich darauf abzustellen. Dieser Sachverhalt zieht gemäss Art. 67 Abs. 1 Bst. a AuG eine Fernhaltemassnahme nach sich.</w:t>
      </w:r>
    </w:p>
    <w:p>
      <w:r>
        <w:rPr>
          <w:b/>
        </w:rPr>
        <w:t>E. 5.2</w:t>
      </w:r>
    </w:p>
    <w:p>
      <w:r>
        <w:t>Soweit der Beschwerdeführer im vorliegenden Verfahren versucht, sein über Jahre dauerndes Fehlverhalten in der Vergangenheit (vgl. Sachverhalt Bst. B, C und D) zu bagatellisieren, sei darauf hingewiesen, dass dies nicht Gegenstand des vorliegenden Verfahrens bildet.</w:t>
      </w:r>
    </w:p>
    <w:p>
      <w:r>
        <w:rPr>
          <w:b/>
        </w:rPr>
        <w:t>E. 5.3</w:t>
      </w:r>
    </w:p>
    <w:p>
      <w:r>
        <w:t>Demzufolge liegen beim Beschwerdeführer hinreichende Gründe für die Verhängung einer Fernhaltemassnahme vor (vgl. Art. 67 Abs. 1 Bst. a AuG).</w:t>
      </w:r>
    </w:p>
    <w:p>
      <w:r>
        <w:rPr>
          <w:b/>
        </w:rPr>
        <w:t>E. 6.1</w:t>
      </w:r>
    </w:p>
    <w:p>
      <w:r>
        <w:t>Wird die Wegweisung nach Art. 64d Abs. 2 AuG sofort vollzogen, so ist gemäss Art. 67 Abs. 1 Bst. b AuG grundsätzlich ein Einreiseverbot zu erlassen. Der Vorinstanz kam vorliegend mithin ein stark eingeschränktes Entschliessungsermessen zu (vgl. BBl 2009 8896 ad Art. 67 Abs. 1); nur in Ausnahmefällen ist von der Verhängung eines Einreiseverbots abzusehen (vgl. Art. 67 Abs. 5 AuG). Dennoch ist - namentlich im Hinblick auf die Dauer des Einreiseverbots - stets im Einzelfall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6.2</w:t>
      </w:r>
    </w:p>
    <w:p>
      <w:r>
        <w:t>Der Beschwerdeführer macht keine Gründe geltend, welche den ausnahmsweisen Verzicht auf die Verhängung der Fernhaltemassnahme rechtfertigen können. Er hat daher die mit der Fernhaltemassnahme einhergehenden Einschränkungen hinzunehmen. Das Einreiseverbot wirkt sodann nicht absolut. So steht ihm die Möglichkeit offen, aus wichtigen Gründen die zeitweilige Suspension des Einreiseverbots zu beantragen (vgl. Art. 67 Abs. 5 AuG). Die Dauer des Einreiseverbots - zwei Jahre - erscheint sodann nicht als unverhältnismässig lang (vgl. aus der Praxis etwa die Urteile des BVGer C-3333/2011 vom 19. September 2013 E. 11.2 und E. 12, C-4659/2012 vom 25. Oktober 2013 E. 6.1 ff. sowie C-749/2010 vom 1. Oktober 2012 E. 5.1 ff.).</w:t>
      </w:r>
    </w:p>
    <w:p>
      <w:r>
        <w:rPr>
          <w:b/>
        </w:rPr>
        <w:t>E. 6.3</w:t>
      </w:r>
    </w:p>
    <w:p>
      <w:r>
        <w:t>Der Beschwerdeführer bringt vor, die Ausschreibung des Einreiseverbots im SIS schränke seine Reisefreiheit massiv ein und bezieht sich damit sinngemäss auf die Unverhältnismässigkeit der Massnahme. Da die Schweiz die Interessen der Gesamtheit aller Schengen-Staaten zu wahren hat (vgl. BVGE 2011/48 E. 6.1) und vorliegend als Folge der sofort vollzogenen Wegweisung zum Erlass eines schengenweiten Einreiseverbots verpflichtet war, erfolgte der SIS-Eintrag jedoch zu Recht. Die Schengen-Staaten können den Betroffenen sodann aus wichtigen Gründen oder aufgrund in­ternationaler Verpflichtungen die Einreise in das eigene Hoheitsgebiet gestatten bzw. ein Schengen-Visum mit räumlich beschränkter Gül­tigkeit ausstellen (vgl. Art. 13 Abs. 1 i.V.m. Art. 5 Abs. 4 Bst. c SGK; Art. 25 Abs. 1 Bst. a [ii] Visakodex). Nachdem die Ausschreibung des Einreiseverbots im SIS klarerweise gerechtfertigt war, erübrigt es sich zu prüfen, ob im vorliegenden Fall die Rückführungsrichtlinie - welche ein Absehen vom Erlass eines schengenweiten Einreiseverbots bzw. einer SIS-Ausschreibung nur in rechtfertigungsbedürftigen Ausnahmefällen zulässt (vgl. Erwägungsgrund 14 RFRL sowie Art. 3 Ziff. 6 i.V.m. Art. 11 Abs. 1 RFRL) - anwendbar ist oder nicht (vgl. zu dieser Problematik Urteil des BVGer C-891/2012 vom 16. April 2013 E. 5.1 f. mit Hinweisen).</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