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C-3745/2012 vom 18. Januar 2013</w:t>
      </w:r>
    </w:p>
    <w:p>
      <w:r>
        <w:t>Bundesverwaltungsgericht, 2013-01-18, IT</w:t>
      </w:r>
    </w:p>
    <w:p>
      <w:r>
        <w:rPr>
          <w:b/>
        </w:rPr>
        <w:t xml:space="preserve">Quelle: </w:t>
      </w:r>
      <w:r>
        <w:t>https://mcp.opencaselaw.ch/entscheid/bvger_C-3745_2012</w:t>
      </w:r>
    </w:p>
    <w:p>
      <w:r>
        <w:t>FR: TAF C-3745/2012 du 18 janvier 2013</w:t>
      </w:r>
    </w:p>
    <w:p>
      <w:r>
        <w:t>IT: TAF C-3745/2012 del 18 gennaio 2013</w:t>
      </w:r>
    </w:p>
    <w:p>
      <w:pPr>
        <w:pStyle w:val="Heading2"/>
      </w:pPr>
      <w:r>
        <w:t>Regeste</w:t>
      </w:r>
    </w:p>
    <w:p>
      <w:r>
        <w:t>Assicurazione per la vecchiaia e i superstiti (altro)</w:t>
      </w:r>
    </w:p>
    <w:p>
      <w:pPr>
        <w:pStyle w:val="Heading2"/>
      </w:pPr>
      <w:r>
        <w:t>Erwägungen</w:t>
      </w:r>
    </w:p>
    <w:p>
      <w:r>
        <w:rPr>
          <w:b/>
        </w:rPr>
        <w:t>E. 1.1</w:t>
      </w:r>
    </w:p>
    <w:p>
      <w:r>
        <w:t>In virtù dell'art. 31 della legge sul Tribunale amministrativo federale del 17 giugno 2005 (LTAF, RS 173.32), questo Tribunale giudica i ricorsi contro le decisioni ai sensi dell'art. 5 della legge federale sulla procedura amministrativa del 20 dicembre 1968 (PA, RS 172.021), emanate dalle autorità menzionate all'art. 33 LTAF, riservate le eccezioni di cui all'art. 32. In particolare, conformemente all'art. 85bis cpv. 1 della legge federale del 20 dicembre 1946 sull'assicurazione per la vecchiaia e i superstiti (LAVS, RS 831.10), le decisioni rese dalla CSC nell'ambito di tale assicurazione possono essere portate davanti a questo Tribunale.</w:t>
      </w:r>
    </w:p>
    <w:p>
      <w:r>
        <w:rPr>
          <w:b/>
        </w:rPr>
        <w:t>E. 1.2</w:t>
      </w:r>
    </w:p>
    <w:p>
      <w:r>
        <w:t>Secondo l'art. 3 lett. dbis PA, la procedura in materia di assicurazioni sociali non è disciplinata dalla PA, nella misura in cui è applicabile la legge federale del 6 ottobre 2000 sulla parte generale del diritto delle assicurazioni sociali (LPGA, RS 830.1). Le disposizioni della LPGA, e della relativa ordinanza dell'11 settembre 2002 (OPGA, RS 830.11), sono applicabili alla LAVS, sempre che quest'ultima legge non preveda espressamente una deroga alla LPGA (art. 1 cpv. 1 LAVS).</w:t>
      </w:r>
    </w:p>
    <w:p>
      <w:r>
        <w:rPr>
          <w:b/>
        </w:rPr>
        <w:t>E. 1.3</w:t>
      </w:r>
    </w:p>
    <w:p>
      <w:r>
        <w:t>Conformemente all'art. 59 LPGA, ha diritto di ricorrere chiunque è toccato dalla decisione o dalla decisione su opposizione ed ha un interesse degno di protezione al suo annullamento o alla sua modificazione. Il ricorso deve essere interposto entro 30 giorni dalla notificazione della decisione o della decisione contro cui l'opposizione è esclusa (art. 60 LPGA). Esso deve contenere le conclusioni, i motivi, l'indicazione dei mezzi di prova e la firma del ricorrente o del suo rappresentante, con allegati la decisione impugnata e i documenti indicati come mezzi di prova, se sono in possesso del ricorrente (art. 52 cpv. 1 PA).</w:t>
      </w:r>
    </w:p>
    <w:p>
      <w:r>
        <w:rPr>
          <w:b/>
        </w:rPr>
        <w:t>E. 1.4</w:t>
      </w:r>
    </w:p>
    <w:p>
      <w:r>
        <w:t>In concreto, il ricorso è ammissibile nella misura in cui è stato presentato tempestivamente e nel rispetto dei requisiti previsti dalla legge (art. 59 e 60 LPGA, nonché l'art. 52 cpv. 1 PA).</w:t>
      </w:r>
    </w:p>
    <w:p>
      <w:r>
        <w:rPr>
          <w:b/>
        </w:rPr>
        <w:t>E. 2.1</w:t>
      </w:r>
    </w:p>
    <w:p>
      <w:r>
        <w:t>Il diritto alla rendita di vecchiaia nasce il primo giorno del mese successivo a quello in cui è stata compiuta l'età di 65 anni per gli uomini e di 64 anni per le donne, e si estingue con la morte del beneficiario (art. 21 LAVS).</w:t>
      </w:r>
    </w:p>
    <w:p>
      <w:r>
        <w:rPr>
          <w:b/>
        </w:rPr>
        <w:t>E. 2.2</w:t>
      </w:r>
    </w:p>
    <w:p>
      <w:r>
        <w:t>Gli assicurati e il loro datore di lavoro devono collaborare gratuitamente all'esecuzione della LAVS (art. 28 cpv. 1 LPGA). In particolare, l'avente diritto, i suoi congiunti o i terzi ai quali è versata la prestazione sono tenuti a notificare all'assicuratore o, secondo i casi, al competente organo esecutivo qualsiasi cambiamento importante sopraggiunto nelle condizioni determinanti per l'erogazione di una prestazione (art. 31 cpv. 1 LPGA).</w:t>
      </w:r>
    </w:p>
    <w:p>
      <w:r>
        <w:rPr>
          <w:b/>
        </w:rPr>
        <w:t>E. 2.3</w:t>
      </w:r>
    </w:p>
    <w:p>
      <w:r>
        <w:t>Le prestazioni indebitamente riscosse devono essere restituite e la restituzione non deve essere chiesta se l'interessato era in buona fede e verrebbe a trovarsi in gravi difficoltà (art. 25 cpv. 1 LPGA). Peraltro, il diritto di esigere la restituzione si estingue dopo un anno a decorrere dal momento in cui l'istituto d'assicurazione ha avuto conoscenza del fatto, ma al più tardi cinque anni dopo il versamento della prestazione (art. 25 cpv. 2 LPGA).</w:t>
      </w:r>
    </w:p>
    <w:p>
      <w:r>
        <w:rPr>
          <w:b/>
        </w:rPr>
        <w:t>E. 2.4</w:t>
      </w:r>
    </w:p>
    <w:p>
      <w:r>
        <w:t>Se il beneficiario era in buona fede e si trova in gravi difficoltà, l'assicuratore rinuncia completamente o in parte alla restituzione delle prestazioni indebitamente concesse (art. 4 cpv. 1 OPGA). Pertanto, affinché sia concesso il condono dell'obbligo di restituzione, è necessario che siano adempiuti cumulativamente i seguenti presupposti: (a) l'interessato ha percepito la prestazione indebita in buona fede e (b) la restituzione gli imporrebbe gravi difficoltà. In assenza di una delle predette condizioni, il condono non può essere concesso.</w:t>
      </w:r>
    </w:p>
    <w:p>
      <w:r>
        <w:rPr>
          <w:b/>
        </w:rPr>
        <w:t>E. 3</w:t>
      </w:r>
    </w:p>
    <w:p>
      <w:r>
        <w:t>A._______ non contesta, in definitiva, la fondatezza della decisione della CSC, del 23 novembre 2011, relativa alla restituzione della somma di Fr. 835.-, bensì pretende di essere esentata dal pagamento di questo importo, almeno parzialmente. Il suo scritto del 1° luglio 2012 non è quindi un ricorso contro la detta decisione, ma una domanda di condono, la quale non è stata evasa dalla CSC, ma è stata erroneamente trasmessa a questo Tribunale come ricorso contro la decisione di restituzione del 23 novembre 2011. La CSC ha poi riconosciuto senza equivoci, il 9 novembre 2012, la natura della domanda di condono e chiesto che sia trattata in quanto tale. Questo Tribunale non può quindi che rinviarla alla CSC affinché verifichi se le condizioni per la concessione di un condono, parziale o totale, sono adempiute, ed emani conseguentemente una decisione impugnabile.</w:t>
      </w:r>
    </w:p>
    <w:p>
      <w:r>
        <w:rPr>
          <w:b/>
        </w:rPr>
        <w:t>E. 4</w:t>
      </w:r>
    </w:p>
    <w:p>
      <w:r>
        <w:t>In virtù dell'art. 24 cpv. 1 LTAF, il giudice dell'istruzione decide quale giudice unico circa lo stralcio dal ruolo delle cause divenute prive di oggetto (lett. a) e la non entrata nel merito di impugnazioni manifestamente inammissibili (lett. b). Sono fatte salve, conformemente al cpv. 2, le competenze del giudice unico secondo le leggi federali in materia di assicurazioni sociali. Ai sensi dell'art. 85bis cpv. 3 LAVS, se l'esame preliminare, anteriore o posteriore a uno scambio di scritti, rileva che il ricorso al Tribunale amministrativo federale è inammissibile o manifestamente infondato, un giudice unico può, con motivazione sommaria, pronunciare la non entrata in materia o il rigetto. In concreto, questo Tribunale può quindi pronunciare, quale giudice unico, il rigetto del presente ricorso manifestamente infondato.</w:t>
      </w:r>
    </w:p>
    <w:p>
      <w:r>
        <w:rPr>
          <w:b/>
        </w:rPr>
        <w:t>E. 5</w:t>
      </w:r>
    </w:p>
    <w:p>
      <w:r>
        <w:t>Non si prelevano spese processuali né si assegnano indennità per spese ripetibili (art. 63 cpv. 1 e 64 cpv. 1 PA, nonché art. 7 e segg. del regolamento sulle tasse e sulle spese ripetibili nelle cause dinanzi al Tribunale amministrativo federale, del 21 febbraio 2008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