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C-3744/2012 vom 25. Februar 2013</w:t>
      </w:r>
    </w:p>
    <w:p>
      <w:r>
        <w:t>Bundesverwaltungsgericht, 2013-02-25, DE</w:t>
      </w:r>
    </w:p>
    <w:p>
      <w:r>
        <w:rPr>
          <w:b/>
        </w:rPr>
        <w:t xml:space="preserve">Quelle: </w:t>
      </w:r>
      <w:r>
        <w:t>https://mcp.opencaselaw.ch/entscheid/bvger_C-3744_2012</w:t>
      </w:r>
    </w:p>
    <w:p>
      <w:r>
        <w:t>FR: TAF C-3744/2012 du 25 février 2013</w:t>
      </w:r>
    </w:p>
    <w:p>
      <w:r>
        <w:t>IT: TAF C-3744/2012 del 25 febbraio 2013</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Verwaltungsverfahrensgesetz (Art. 37 VGG).</w:t>
      </w:r>
    </w:p>
    <w:p>
      <w:r>
        <w:rPr>
          <w:b/>
        </w:rPr>
        <w:t>E. 1.3</w:t>
      </w:r>
    </w:p>
    <w:p>
      <w:r>
        <w:t>Die Beschwerdeführerin ist gemäss Art. 48 Abs. 1 VwVG zur Be­schwerde berechtigt. Auf die im Übrigen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w:t>
      </w:r>
    </w:p>
    <w:p>
      <w:r>
        <w:t>Der angefochtenen Verfügung liegt das Gesuch einer Staatsangehörigen der Dominikanischen Republik um Erteilung eines Visums für einen Aufenthalt in der Schweiz zugrunde. Da sich die Gesuchstellerin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vom 16. Dezember 2005 (AuG, SR 142.20) und seine Ausführungsverordnung gelangen nur soweit zur Anwendung, als die Schengen-Assoziierungsabkommen keine abweichenden Bestimmungen enthalten (Art. 2 Abs. 2 bis Abs.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Martina Caroni / Thomas Gächter / Daniela Thurn­herr [Hrsg.], Stämpflis Handkommentar zum Bundesgesetz über die Auslän­derinnen und Ausländer, Bern 2010, Art. 5 N. 3 f.).</w:t>
      </w:r>
    </w:p>
    <w:p>
      <w:r>
        <w:rPr>
          <w:b/>
        </w:rPr>
        <w:t>E. 4.2</w:t>
      </w:r>
    </w:p>
    <w:p>
      <w:r>
        <w:t>Angehörige von Drittstaaten dürfen über die Aussengrenzen des Schen­gen-Raums für einen Aufenthalt von höchstens drei Monaten je Sechsmonatszeitraum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Philipp Egli / Tobias D. Meyer, a.a.O. Art. 5 N. 33).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Philipp Egli / Tobias D.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Als Staatsangehörige der Dominikanischen Republik unterliegt die Beschwerdeführerin der Visumspflicht (Anhang I zur Verordnung (EG) Nr. 539/2001 des Rates vom 15. März 2001). Bei der Prüfung der Einreisevoraussetzungen nach Art. 5 Abs. 1 SGK steht die Frage der gesicherten Wiederausreise im Vordergrund, welche die Vorinstanz vor allem aufgrund der allgemeinen Lage im Heimatland anzweifelt. Dazu lassen sich in der Regel keine gesicherten Feststellungen, sondern lediglich Prognosen treffen. Dabei sind sämtliche Umstände des konkreten Einzelfalles zu würdigen.</w:t>
      </w:r>
    </w:p>
    <w:p>
      <w:r>
        <w:rPr>
          <w:b/>
        </w:rPr>
        <w:t>E. 5.2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nicht mit dem Ziel und Zweck einer zeitlich befristeten Einreisebewilligung in Einklang steht.</w:t>
      </w:r>
    </w:p>
    <w:p>
      <w:r>
        <w:rPr>
          <w:b/>
        </w:rPr>
        <w:t>E. 6.1</w:t>
      </w:r>
    </w:p>
    <w:p>
      <w:r>
        <w:t>In der Dominikanischen Republik sind zweifellos breite Bevölkerungsschichten von vergleichsweise schwierigen wirtschaftlichen Lebensbedingungen betroffen. Die dortige Wirtschaft zeichnet sich zwar seit über zehn Jahren durch solide jährliche Wachstumsraten aus, seit 2011 betragen sie durchschnittlich 4%. Die Einkommensverteilung ist aber zunehmend ungleich, was (in Verbindung mit derzeit stark steigenden Preisen für Grundversorgungsgüter) zu einem Anstieg sozialer Spannungen führt. Die wichtigsten Einnahmequellen sind der Tourismus, Transferzahlungen der im Ausland lebenden Dominikaner und die Exportgewinne aus den Freihandelszonen. Die Netto-Transferzahlungen der im Ausland lebenden Dominikaner machen rund 6% des BIP aus, sind jedoch seit einigen Jahren rückläufig. Der überwiegende Teil der Zahlungen stammt aus den USA und Europa (Quel­le: Webseite des deutschen Auswärtigen Amtes: www.auswaertiges-amt.de, Aussen- und Europapolitik &gt; Länderinformationen &gt; Dominikanische Republik &gt; Wirtschaft, Stand: Oktober 2012; besucht im Februar 2013). Die Dominikanische Republik hat die höchste Arbeitslosenquote in Lateinamerika und der Karibik. Dies geht aus dem Statistischen Jahrbuch der Wirtschaftskommission für Lateinamerika und die Karibik (CEPAL) für das Jahr 2010 hervor. Dem Bericht zufolge lag die Arbeitslosenquote im Jahre 2010 bei 14,4 Prozent, während der durchschnittliche Wert in der Region 7,6 Prozent erreichte. Die hohe Arbeitslosigkeit der vergangenen Jahre setzte sich damit fort und zeigt nach Meinung von Experten die strukturellen Probleme der Wirtschaft des Landes, welche nur eine begrenzte Zahl von Arbeitsplätzen schaffen konnte (Quelle: Homepage der Zeitung Latina Press: http://latina-press.com, Dominikanische Republik &gt; Politik &amp; Wirtschaft &gt; Suchbegriff: Arbeitslosenquote &gt; Bericht vom 9. Januar 2011, "Dominikanische Republik, Höchste Arbeitslosenquote in der Region"; besucht im Februar 2013).</w:t>
      </w:r>
    </w:p>
    <w:p>
      <w:r>
        <w:rPr>
          <w:b/>
        </w:rPr>
        <w:t>E. 6.2</w:t>
      </w:r>
    </w:p>
    <w:p>
      <w:r>
        <w:t>Im Falle der Schweiz wird die Tendenz zur Immigration erfahrungsge­mäss dort noch begünstigt, wo durch die Anwesenheit von Verwandten oder Bekannten bereits ein minimales soziales Beziehungsnetz besteht. Angesichts der restriktiven Zulassungsregelung werden dabei nicht selten ausländerrechtliche Bestimmungen umgangen, indem - einmal eingereist - versucht wird, den Aufenthalt auf eine ganz andere rechtliche oder faktische Basis zu stellen und sich so der Pflicht zur Wiederausreise zu ent­ziehen. Solche Umstände und Erfahrungen sind beim Entscheid über die Erteilung eines Visums zu berücksichtigen.</w:t>
      </w:r>
    </w:p>
    <w:p>
      <w:r>
        <w:rPr>
          <w:b/>
        </w:rPr>
        <w:t>E. 6.3</w:t>
      </w:r>
    </w:p>
    <w:p>
      <w:r>
        <w:t>Bei der Risikoanalyse sind allerdings nicht nur die erwähnten allgemeinen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ausländerrecht­lich nicht regelkonformes Verhalten (nach bewilligter Einreise zu einem Besuchsaufenthalt) hoch eingeschätzt werden.</w:t>
      </w:r>
    </w:p>
    <w:p>
      <w:r>
        <w:rPr>
          <w:b/>
        </w:rPr>
        <w:t>E. 7.1</w:t>
      </w:r>
    </w:p>
    <w:p>
      <w:r>
        <w:t>Bei der Beschwerdeführerin handelt es sich um eine 23-jährige, unverheiratete und kinderlose Frau. Gemäss den Ausführungen des Gastgebers in seiner schriftlichen Stellungnahme vom 30. Mai 2012 lebt sie nach wie vor mit ihren Eltern zusammen, was aber für dominikanische Verhältnisse normal sei. Irgendwelche Verpflichtungen oder besonderen Verantwortlichkeiten familiärer Natur ergeben sich daraus jedoch nicht und werden von der Beschwerdeführerin auch nicht geltend gemacht.</w:t>
      </w:r>
    </w:p>
    <w:p>
      <w:r>
        <w:rPr>
          <w:b/>
        </w:rPr>
        <w:t>E. 7.2</w:t>
      </w:r>
    </w:p>
    <w:p>
      <w:r>
        <w:t>In beruflicher Hinsicht macht die Beschwerdeführerin unter Vorlage entsprechender Belege geltend, sie arbeite seit Ende 2009 als Sekretärin in einem Anwaltsbüro und erziele dabei ein monatliches Einkommen von 8000 Dominikanischen Pesos (umgerechnet rund 180 sFr.). Der Arbeitgeber wäre offenbar bereit, ihr einen dreimonatigen Urlaub zu gewähren. Ansonsten ist über die wirtschaftlichen Verhältnisse, in denen die Beschwerdeführerin lebt, nichts bekannt. So ist unklar, ob weitere Einkommensbestandteile, Vermögen, finanzielle Verpflichtungen gegenüber den Eltern oder andern nahen Angehörigen bestehen. Die Feststellung des Vertreters, wonach die Beschwerdeführerin mit ihrer Arbeitsstelle ein für lokale Verhältnisse gutes Einkommen erwirtschafte, ist vor diesem Hintergrund zu relativieren.</w:t>
      </w:r>
    </w:p>
    <w:p>
      <w:r>
        <w:rPr>
          <w:b/>
        </w:rPr>
        <w:t>E. 7.3</w:t>
      </w:r>
    </w:p>
    <w:p>
      <w:r>
        <w:t>Die Verhältnisse der Beschwerdeführerin lassen zwar insgesamt eine gewisse soziale und berufliche Einbettung in ihrer angestammten Umgebung erkennen, sie scheinen aber nicht derart etabliert, dass eine Emigration in die Schweiz nicht als valable Alternative ins Auge gefasst werden könnte.</w:t>
      </w:r>
    </w:p>
    <w:p>
      <w:r>
        <w:rPr>
          <w:b/>
        </w:rPr>
        <w:t>E. 7.4</w:t>
      </w:r>
    </w:p>
    <w:p>
      <w:r>
        <w:t>Gemäss Darstellung des Gastgebers in seiner Stellungnahme vom 30. Mai 2012 hat er die Beschwerdeführerin im Jahre 2010 durch Vermittlung einer Cousine kennen gelernt und den Kontakt seither über das Internet und durch Telefonate gepflegt. Er bezeichnet die Beschwerdeführerin als seine Freundin und befürwortet den dreimonatigen Besuchsaufenthalt, damit man sich noch besser kennen lernen könne. Falls dies erfolgreich verlaufen sollte, schliesse er eine spätere Heirat nicht aus. Er sei selbständig erwerbstätig und könnte sich deshalb nur für kurze Zeit zur Beschwerdeführerin begeben. Zweifel an den guten Absichten des Gastgebers sind sicherlich nicht am Platz. Andererseits kann er weder Verantwortung für das mögliche Verhalten seines Gastes übernehmen, noch ein solches verlässlich steuern. Vor dem aufgezeigten Hintergrund sind Vorbehalte am Platz, wenn es beim Gastgeber darum geht, mögliche Vorstellungen der Beschwerdeführerin über ihre kurz- und mittelfristige Lebensplanung abzuschätzen. Immerhin ist er seiner Freundin noch nie persönlich begegnet und die beiden weisen einen Altersunterschied von 28 Jahren auf. Es ist tatsächlich nicht auszuschliessen, dass die Beschwerdeführerin - einmal in der Schweiz - versucht sein könnte, auch unabhängig von der Entwicklung der Beziehung zu ihrem Freund Fuss zu fassen.</w:t>
      </w:r>
    </w:p>
    <w:p>
      <w:r>
        <w:rPr>
          <w:b/>
        </w:rPr>
        <w:t>E. 7.5</w:t>
      </w:r>
    </w:p>
    <w:p>
      <w:r>
        <w:t>Vor dem allgemeinen und persönlichen Hintergrund konnte die Vorinstanz demnach davon ausgehen, dass keine hinreichende Gewähr für die fristgerechte und anstandslose Wiederausreise der Beschwerdeführerin nach einem Besuchsaufenthalt besteht. Diese Einschätzung ist weder mit den gegenteiligen Zusicherungen noch mit der vom Gastgeber im Beschwerdeverfahren vor dem Bundesverwaltungsgericht angebotenen besonderen Sicherheitsleistung ernsthaft in Frage zu stellen. Letztere ist (über die Verpflichtungserklärung zum Nachweis ausreichender Mittel gemäss Art. 2 Abs. 2 bzw. Art. 7 und Art. 11 VEV hinaus) nicht vorgesehen und würde im Übrigen wiederum nicht die Beschwerdeführerin, sondern einseitig ihren Gastgeber in die Pflicht nehmen, was das Risiko einer nicht fristgerechten Wiederausreise aus den bereits genannten Gründen kaum zu verringern vermöchte.</w:t>
      </w:r>
    </w:p>
    <w:p>
      <w:r>
        <w:rPr>
          <w:b/>
        </w:rPr>
        <w:t>E. 7.6</w:t>
      </w:r>
    </w:p>
    <w:p>
      <w:r>
        <w:t>Gründe für die Ausstellung eines Visums mit räumlich beschränkter Gültigkeit wurden von der Beschwerdeführerin weder geltend gemacht, noch sind solche aus den Akten ersichtlich.</w:t>
      </w:r>
    </w:p>
    <w:p>
      <w:r>
        <w:rPr>
          <w:b/>
        </w:rPr>
        <w:t>E. 8</w:t>
      </w:r>
    </w:p>
    <w:p>
      <w:r>
        <w:t>Aus vorstehenden Erwägungen folgt, dass die angefochtene Verfügung im Lichte von Art. 49 VwVG nicht zu beanstanden ist. Die Beschwerde ist daher abzuweisen.</w:t>
      </w:r>
    </w:p>
    <w:p>
      <w:r>
        <w:rPr>
          <w:b/>
        </w:rPr>
        <w:t>E. 9</w:t>
      </w:r>
    </w:p>
    <w:p>
      <w:r>
        <w:t>Entsprechend dem Ausgang des Verfahrens wird die unterliegende Be­schwerdeführerin kostenpflichtig (Art. 63 Abs. 1 VwVG, Art. 1, 2 und 3 Bst. b des Reglements vom 21. Februar 2008 über die Kosten und Ent­schä­digungen vor dem Bundesverwaltungsgericht [SR 173.320.2]).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