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C-3737/2013 vom 21. Juni 2014</w:t>
      </w:r>
    </w:p>
    <w:p>
      <w:r>
        <w:t>Bundesverwaltungsgericht, 2014-06-21, FR</w:t>
      </w:r>
    </w:p>
    <w:p>
      <w:r>
        <w:rPr>
          <w:b/>
        </w:rPr>
        <w:t xml:space="preserve">Quelle: </w:t>
      </w:r>
      <w:r>
        <w:t>https://mcp.opencaselaw.ch/entscheid/bvger_C-3737_2013</w:t>
      </w:r>
    </w:p>
    <w:p>
      <w:r>
        <w:t>FR: TAF C-3737/2013 du 21 juin 2014</w:t>
      </w:r>
    </w:p>
    <w:p>
      <w:r>
        <w:t>IT: TAF C-3737/2013 del 21 giugno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let. a PA a codifié la jurisprudence préexistante, qui exigeait - à titre de condition déterminant l'entrée en matière - que le recourant ait participé à la procédure devant l'instance précédente et qu'il ait succombé en tout ou partie dans ses conclusions. Une exception se conçoit dans le cas où le recourant a été privé sans sa faute, en raison d'une erreur de l'autorité, de la possibilité de se constituer partie à la procédure devant l'autorité inférieure, alors même qu'il était en droit de le faire (cf. Vera Marantelli-Sonanini/Said Huber, in : Waldmann/Weissenberger [éd.], Praxiskommentar zum Bundesgesetz über das Verwaltungsverfahren, Zurich/Bâle/Genève 2009, ch. 23 ad art. 48).</w:t>
      </w:r>
    </w:p>
    <w:p>
      <w:r>
        <w:rPr>
          <w:b/>
        </w:rPr>
        <w:t>E. 1.4</w:t>
      </w:r>
    </w:p>
    <w:p>
      <w:r>
        <w:t>En l'espère, le Tribunal constate que la décision de refus de visa Schengen rendue le 17 avril 2013 par l'Ambassade de Suisse à Pristina a été notifiée, le 22 avril 2013, exclusivement à A._______, alors que B._______ et C._______ étaient pourtant intervenus dans la procédure de demande de visa de A._______ par leur lettre d'invitation du 9 avril 2013. Le Tribunal est ainsi amené à considérer que les recourants ont été privés de la possibilité de prendre part à la procédure d'opposition devant l'ODM (cf. art. 48 al. 1 let. a PA). Cela étant, dans la mesure où ils sont spécialement atteints par la décision attaquée (let. b) et qu'ils ont un intérêt digne de protection à son annulation ou à sa modification (let. c), B._______ et C._______ ont qualité pour recourir au sens de l'art. 48 al. 1 PA. Présenté dans la forme et les délais prescrits par la loi, leur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2013/33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l'arrêts du Tribunal administratif fédéral C-4143/2012 du 11 octobre 2012 consid. 3, ainsi que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3469, spéc. p. 3531; voir également ATF 135 II 1 consid. 1.1, ATAF 2009/27 consid. 3 et jurisprudence cit.)</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p.1-7) différencie, en son art. 1 par. 1 et 2, les ressortissants des Etats tiers selon qu'ils sont soumis ou non à l'obligation du visa. En tant que ressortissant kosovar, A._______ est soumis à l'obligation du visa.</w:t>
      </w:r>
    </w:p>
    <w:p>
      <w:r>
        <w:rPr>
          <w:b/>
        </w:rPr>
        <w:t>E. 5</w:t>
      </w:r>
    </w:p>
    <w:p>
      <w:r>
        <w:t>Dans la décision querellée, l'ODM a refusé la délivrance d'un visa Schengen au prénommé au motif que son départ à l'échéance du visa sollicité n'apparaissait pas suffisamment assuré.</w:t>
      </w:r>
    </w:p>
    <w:p>
      <w:r>
        <w:rPr>
          <w:b/>
        </w:rPr>
        <w:t>E. 5.1</w:t>
      </w:r>
    </w:p>
    <w:p>
      <w:r>
        <w:t>C'est le lieu de rappeler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invitée, dans la mesure où il ne peut être exclu qu'une situation politiquement, socialement ou économiquement moins favorisée que celle que connaît la Suisse puisse influencer le comportement de la personne invitée (cf., sur les points qui précèdent, notamment les arrêts du Tribunal administratif fédéral C-2989/2012 précité, consid. 5.1, et C-5400/2011 du 17 août 2012, consid. 6).</w:t>
      </w:r>
    </w:p>
    <w:p>
      <w:r>
        <w:rPr>
          <w:b/>
        </w:rPr>
        <w:t>E. 5.2</w:t>
      </w:r>
    </w:p>
    <w:p>
      <w:r>
        <w:t>In casu, le Tribunal ne saurait d'emblée écarter les craintes émises par l'autorité intimée, notamment au vu de la situation qui prévaut dans le pays d'origine de l'intéressé sur les plans social et économique. A ce propos, il convient de prendre en considération les conditions de vie difficiles que connaît l'ensemble de la population au Kosovo. Malgré un taux de croissance de 2,5% en 2013 et une situation budgétaire relativement saine, force est de constater que ce pays reste néanmoins fragile sur le plan économique. Ainsi, la République du Kosovo, avec un taux de chômage de 30,9% (2013), reste dépendant dans une large mesure de l'aide extérieure et des transferts financiers de la diaspora. Quant au produit intérieur brut (PIB) par habitant, il s'élevait en 2013 à 2'794, si bien que le Kosovo reste l'un des pays les plus pauvres d'Europe avec près de 30% de la population vivant sous le seuil de pauvreté (source : site internet du Ministère français des Affaires étrangères: www.diplomatie.gouv.fr &gt; Dossiers pays &gt; Kosovo &gt; Présentation; mise à jour le 13 mai 2014; site consulté en juin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précisément le cas ici, du fait de la présence en Suisse du frère de l'intéressé.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w:t>
      </w:r>
    </w:p>
    <w:p>
      <w:r>
        <w:rPr>
          <w:b/>
        </w:rPr>
        <w:t>E. 6.1</w:t>
      </w:r>
    </w:p>
    <w:p>
      <w:r>
        <w:t>Il convient dès lors d'examiner particulièrement si les attaches personnelles, familiales et professionnelles de A._______ plaide en faveur de sa sortie ponctuelle de Suisse, respectivement de l'Espace Schengen, au terme du séjour envisagé.</w:t>
      </w:r>
    </w:p>
    <w:p>
      <w:r>
        <w:rPr>
          <w:b/>
        </w:rPr>
        <w:t>E. 6.2</w:t>
      </w:r>
    </w:p>
    <w:p>
      <w:r>
        <w:t>A cet égard, sans vouloir minimiser l'importance des motifs d'ordre familial sur lesquels le prénommé a fondé sa demande d'autorisation d'entrée en Suisse, le Tribunal ne saurait admettre, au vu de l'ensemble des éléments du dossier, que sa sortie du territoire helvétique au terme du séjour envisagé soit suffisamment garantie. Les recourants ont certes allégué que leur invité suivait des études au Kosovo et n'avait pas l'intention de demeurer en Suisse. Même s'il convient d'admettre que de tels éléments peuvent, dans une certaine mesure, inciter une personne, au terme du séjour envisagé en Suisse, à retourner dans le pays où elle réside, ils ne sauraient, notamment dans le contexte politique et socio-économique dans lequel se trouve la République du Kosovo, suffire toutefois, à eux seuls, à garantir le retour du requérant dans cet Etat. Par ailleurs, en considération de la situation personnelle de A._______ dans son pays, on ne saurait considérer que ce dernier y bénéficie d'une situation matérielle stable au point de garantir sans aucun doute son retour. Ainsi, eu égard aux circonstances socio-économiques évoquées plus haut, les autorités helvétiques ne peuvent totalement exclure que l'intéressé ne s'efforce, une fois entré en Suisse et malgré les assurances contraires qui ont été données par les recourants, d'obtenir un titre de séjour dans l'espoir d'y trouver des conditions d'existence meilleures que celles rencontrées dans son pays d'origine. Il ne faut pas perdre de vue en effet que cette différence de niveau de vie peut s'avérer déterminante lorsqu'on prend la décision de quitter sa patrie. La présence de son frère en Suisse peut en outre constituer un élément supplémentaire propre à favoriser l'éventuelle installation de l'intéressé dans ce pays. Certes, les recourants ont allégué avoir déjà invité en Suisse les parents et la grand-mère de B._______ et se sont étonnés du refus de visa opposé à A._______. Pareil argument n'est cependant pas déterminant en l'occurrence, étant donné que chaque demande fait l'objet d'un examen individuel et actualisé (cf. arrêt du Tribunal administratif C-1742/2012 du 21 septembre 2012 consid. 6.2 et jurisprudence cit.).</w:t>
      </w:r>
    </w:p>
    <w:p>
      <w:r>
        <w:rPr>
          <w:b/>
        </w:rPr>
        <w:t>E. 7</w:t>
      </w:r>
    </w:p>
    <w:p>
      <w:r>
        <w:t>Le Tribunal relève par ailleurs que le désir exprimé par A._______, au demeurant parfaitement compréhensible, de venir en Suisse, afin de rendre visite à son frère et à sa belle-soeur, ne constitue pas à lui seul un motif justifiant l'octroi d'un visa, à propos duquel il ne saurait se prévaloir d'aucun droit (cf. supra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légalement en Suisse. En effet, au vu du nombre important de demandes de visa qui leur sont adressées, les autorités helvétiques ont été amenées à adopter une politique d'admission très restrictive en la matière (ibid.). Par surabondance, il convient encore de remarquer que le refus d'autorisation d'entrée dans l'Espace Schengen prononcé par les autorités helvétiques ne constitue nullement un obstacle au maintien des relations familiales entre les intéressés, dès lors que ceux-ci peuvent tout aussi bien se rencontrer hors de Suisse.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9</w:t>
      </w:r>
    </w:p>
    <w:p>
      <w:r>
        <w:t>Par ailleurs, le recourant n'a pas invoqué de raisons susceptibles de justifier la délivrance d'un visa à validité territoriale limitée (cf. consid. 4.4 ci-avant). Dans ce contexte, il convient de remarquer que le refus d'autorisation d'entrée prononcé à l'endroit de A._______ ne constitue pas une ingérence inadmissible dans l'exercice du droit au respect de la vie privée et familiale consacré par l'art. 8 de la Convention du 4 novembre 1950 de sauvegarde des droits de l'homme et des libertés fondamentales (CEDH, RS 0.101). En effet, rien ne permet de penser, in casu, que l'intéressé et son frère résidant sur le territoire helvétique se trouveraient durablement dans l'impossibilité de se rencontrer ailleurs qu'en Suisse (sur cette question, cf. arrêt du Tribunal administratif fédéral C-4852/2011 du 20 mars 2013 consid. 7.2.1 et réf. cit.). A cela s'ajoute que les contacts pourront également être maintenus par d'autres moyens tels que la communication téléphonique et la correspondance.</w:t>
      </w:r>
    </w:p>
    <w:p>
      <w:r>
        <w:rPr>
          <w:b/>
        </w:rPr>
        <w:t>E. 10</w:t>
      </w:r>
    </w:p>
    <w:p>
      <w:r>
        <w:t>Compte tenu des considérants exposés ci-dessus, le Tribunal est d'avis qu'il ne saurait être reproché à l'ODM d'avoir refusé la délivrance d'une autorisation d'entrée dans l'Espace Schengen en faveur de A._______. Il s'ensuit que, par sa décision du 28 mai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