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C-3734/2009 vom 23. Juni 2011</w:t>
      </w:r>
    </w:p>
    <w:p>
      <w:r>
        <w:t>Bundesverwaltungsgericht, 2011-06-23, IT</w:t>
      </w:r>
    </w:p>
    <w:p>
      <w:r>
        <w:rPr>
          <w:b/>
        </w:rPr>
        <w:t xml:space="preserve">Quelle: </w:t>
      </w:r>
      <w:r>
        <w:t>https://mcp.opencaselaw.ch/entscheid/bvger_C-3734_2009</w:t>
      </w:r>
    </w:p>
    <w:p>
      <w:r>
        <w:t>FR: TAF C-3734/2009 du 23 juin 2011</w:t>
      </w:r>
    </w:p>
    <w:p>
      <w:r>
        <w:t>IT: TAF C-3734/2009 del 23 giugno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Ne consegue che il diritto alla rendita si esamina fino al 31 dicembre 2007 alla luce delle norme previgenti e, a partire da questa data, secondo le nuove disposizioni. Tuttavia, secondo le norme transitorie sulla 5a revisione della LAI (cfr. lettera circolare 253 del 12 dicembre 2007 dell'Ufficio federale delle assicurazioni sociali [UFAS]), se l'incapacità di lavoro inizia dopo il 1° gennaio 2007 ed un evento assicurato si verifica nel corso del 2008, la rendita può essere versata allo scadere del termine di attesa di un anno in deroga all'art. 28 cpv. 1 LAI in vigore dal 1° gennaio 2008, a condizione che la domanda di rendita sia presentata entro il 31 dicembre 2008.</w:t>
      </w:r>
    </w:p>
    <w:p>
      <w:r>
        <w:rPr>
          <w:b/>
        </w:rPr>
        <w:t>E. 4</w:t>
      </w:r>
    </w:p>
    <w:p>
      <w:r>
        <w:t>La ricorrente ha innanzitutto contestato la validità formale della decisione dell'UAIE, rilevando che essa sarebbe nulla poiché non sufficientemente motivata.</w:t>
      </w:r>
    </w:p>
    <w:p>
      <w:r>
        <w:rPr>
          <w:b/>
        </w:rPr>
        <w:t>E. 5.1</w:t>
      </w:r>
    </w:p>
    <w:p>
      <w:r>
        <w:t>Il diritto di essere sentito, la cui garanzia è prevista all'art. 29 cpv. 2 della Costituzione federale della Confederazione svizzera del 18 aprile 1999 (Cost, RS 101), comprende il diritto per l'assicurato di prendere conoscenza dell'incarto (DTF 132 II 485 consid. 3, 126 I 7 consid. 2b), di esprimersi prima che una decisione sia emessa nei suoi confronti, di produrre delle prove pertinenti, di partecipare all'amministrazione delle prove essenziali, di prenderne conoscenza e di potersi esprimere in merito, allorquando questo è proprio ad influenzare la decisione da emanare (cfr. DTF 124 II 132 consid. 2b e giurisprudenza ivi citata). Nel quadro della procedura amministrativa il diritto di essere sentito è consacrato dagli art. 26 a 28 (diritto di esaminare gli atti), dagli art. 29 a 33 (diritto di essere sentito stricto sensu) e dall'art. 35 PA (diritto di ottenere una decisione motivata).</w:t>
      </w:r>
    </w:p>
    <w:p>
      <w:r>
        <w:rPr>
          <w:b/>
        </w:rPr>
        <w:t>E. 5.2</w:t>
      </w:r>
    </w:p>
    <w:p>
      <w:r>
        <w:t>La giurisprudenza ha dedotto dal diritto di essere sentito, definito dalle norme speciali di procedura (quali l'art. 35 PA) l'obbligo per l'autorità di motivare la sua decisione, così da permettere ai destinatari ed a tutte le persone interessate di comprenderla, di impugnarla ed in modo da rendere possibile all'autorità di ricorso adita di esercitare convenientemente il suo controllo (DTF 129 I 232 consid. 3.2; DTF 126 I 97 consid. 2b; DTF 122 IV 8 consid. 2c, DTF 112 Ia 107 consid. 2b; cfr. inoltre la sentenza del Tribunale federale 2A.496/2006/ 2A.497/2006 del 15 ottobre 2007 consid. 5.1.1). Si è in presenza di una violazione del diritto di essere sentito se l'autorità non soddisfa al suo obbligo di esaminare e di trattare i problemi pertinenti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le esigenze legate alla motivazione della decisione devono essere elevate (DTF 112 Ia 107 consid. 2b; cfr. inoltre la sentenza del Tribunale federale 2A.496/2006 / 2A.497/2006 precitata). Sebbene la motivazione debba fare emergere le riflessioni dell'autorità in merito agli elementi (di fatto o di diritto) essenziali che hanno influenzato la decisione, l'autorità non è comunque tenuta a pronunciarsi su tutti i fatti, argomentazioni e mezzi di prova invocati dalle parti, ma può limitarsi a quelli che, senza arbitrio, le sembrano decisivi per la risoluzione della causa (DTF 126 I 97 consid. 2b; DTF 112 Ia 107 consid. 2b). È sufficiente che l'amministrazione indichi brevemente i motivi della decisione e quali sono gli elementi alla base di quest'ultima (DTF 124 V 180, consid. 1a, confermato nella sentenza del Tribunale federale, del 9 maggio 2000, in re I., ed in Pra 2001, n. 71, consid. 1 a/bb).</w:t>
      </w:r>
    </w:p>
    <w:p>
      <w:r>
        <w:rPr>
          <w:b/>
        </w:rPr>
        <w:t>E. 5.3</w:t>
      </w:r>
    </w:p>
    <w:p>
      <w:r>
        <w:t>Il diritto di ottenere una decisione motivata costituisce una garanzia costituzionale di natura formale, la cui violazione causa in principio l'annullamento della decisione impugnata indipendentemente dalle possibilità di esito favorevole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che disponga di piena cognizione (DTF 133 I 201 consid. 2.2; DTF 130 II 530 consid. 7.3; DTF 126 V 130 consid. 2b; DTF 124 V 389 consid. 5a e 180 consid. 4a).</w:t>
      </w:r>
    </w:p>
    <w:p>
      <w:r>
        <w:rPr>
          <w:b/>
        </w:rPr>
        <w:t>E. 5.4</w:t>
      </w:r>
    </w:p>
    <w:p>
      <w:r>
        <w:t>In concreto, la motivazione della decisione impugnata appare certo succinta, ma ciò non ha impedito alla ricorrente di comprenderne la portata e di deferirla all'istanza superiore. Nell'ambito del ricorso, infatti, la ricorrente ha potuto difendersi in maniera corretta, nella misura in cui è stata in grado di dedurre i fatti su cui la decisione si fonda e le ragioni per cui è stata pronunciata. Tuttavia, anche se la decisione fosse considerata non sufficientemente motivata, si rileva che tale carenza sarebbe sanata dal ricorso davanti al Tribunale amministrativo federale, il quale dispone di un pieno potere d'esame (fatti e diritto). Visto quanto precede, la censura della ricorrente in ordine all'insufficienza della motivazione e, quindi, alla violazione del suo diritto di essere sentita, deve essere respinta.</w:t>
      </w:r>
    </w:p>
    <w:p>
      <w:r>
        <w:rPr>
          <w:b/>
        </w:rPr>
        <w:t>E. 6</w:t>
      </w:r>
    </w:p>
    <w:p>
      <w:r>
        <w:t>La ricorrente contesta pure la validità materiale della decisione dell'UAIE, chiedendo che le sia riconosciuto il diritto ad una rendita d'invalidità.</w:t>
      </w:r>
    </w:p>
    <w:p>
      <w:r>
        <w:rPr>
          <w:b/>
        </w:rPr>
        <w:t>E. 7</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durante almeno 3 anni (art. 36 cpv. 1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(Foglio federale/FF 2005 p. 4065; art. 45 del Regolamento CEE n° 1408/71). In concreto, è pacifico che la ricorrente adempie la condizione della durata minima di contribuzione, alla quale la legge subordina l'erogazione di una rendita. Rimane ora da esaminare se sia invalida ai sensi di legge.</w:t>
      </w:r>
    </w:p>
    <w:p>
      <w:r>
        <w:rPr>
          <w:b/>
        </w:rPr>
        <w:t>E. 8.1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Secondo l'art. 28 cpv. 1 LAI, nella versione in vigore fino al 31 dicembre 2007, l'assicurato aveva diritto ad una rendita intera se era invalido per almeno il 70%, a tre quarti di rendita se era invalido per almeno il 60%, ad una mezza rendita se era invalido per almeno la metà e ad un quarto di rendita se era invalido per almeno il 40%.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 A decorrere dal 1° gennaio 2008, il nuovo 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8.3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8.4</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8.5</w:t>
      </w:r>
    </w:p>
    <w:p>
      <w:r>
        <w:t>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 cpv. 2bis LAI e art. 8 cpv. 3 LPGA; metodo specifico). L'art. 27 OAI precisa che, per mansioni consuete di una persona senza attività lucrativa occupata nell'economia domestica, s'intendono gli usuali lavori domestici, l'educazione dei figli nonché le attività artistiche e di pubblica utilità. 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da sano, quindi se non fosse subentrato il danno alla salute, avrebbe consacrato l'essenziale del suo lavoro all'economia domestica o ad un'occupazione rimunerata, e questo tenendo conto dell'evoluzione della situazione fino all'emanazione della decisione impugnata. L'ipotetica ripresa di un'attività lucrativa va ammessa dove tale eventualità si presenti alla luce della situazione personale, familiare, sociale ed economica, con un grado di verosimiglianza preponderante (DTF 133 V 504 consid.3.3, 125 V 150 consid. 2c e 117 V 194 consid. 3b).</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10.1</w:t>
      </w:r>
    </w:p>
    <w:p>
      <w:r>
        <w:t>In concreto, la ricorrente ha cessato di lavorare in Svizzera nel novembre 1987 e, in seguito, ha ripreso a lavorare in Italia nel 1998, quale bracciante agricola, fino alla fine del 2007. Ne discende che fino a questa data si può escludere che la ricorrente abbia presentato un'invalidità di livello pensionabile.</w:t>
      </w:r>
    </w:p>
    <w:p>
      <w:r>
        <w:rPr>
          <w:b/>
        </w:rPr>
        <w:t>E. 10.2</w:t>
      </w:r>
    </w:p>
    <w:p>
      <w:r>
        <w:t>Dalla documentazione medica all'incarto e, principalmente, dalla perizia medica particolareggiata E 213 della dott.ssa B._______, medico dell'INPS, del 17 settembre 2008 (doc. 32), e dai rapporti della dott.ssa C._______ e del dott. D._______, medici dell'UAIE, del 7 marzo 2009 (doc. 34), rispettivamente del 6 ottobre e del 18 dicembre 2009 (doc. 41 e 43), si evince la diagnosi di sclerodermia cutanea localizzata, d'ipertensione arteriosa, di diabete mellito di tipo II, di status dopo colecistectomia, d'incontinenza urinaria e di microlitiasi renale. Questa diagnosi è univoca agli atti e non contestata dalla ricorrente, di modo che il collegio giudicante non ha motivi per scostarsene.</w:t>
      </w:r>
    </w:p>
    <w:p>
      <w:r>
        <w:rPr>
          <w:b/>
        </w:rPr>
        <w:t>E. 10.3</w:t>
      </w:r>
    </w:p>
    <w:p>
      <w:r>
        <w:t>Per costante giurisprudenza, le affezioni appena menzionate sono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(art. 28 cpv. 1 lett. b LAI) e, al termine di questo anno, sia invalido almeno al 40% (art. 28 cpv. 1 lett. c LAI).</w:t>
      </w:r>
    </w:p>
    <w:p>
      <w:r>
        <w:rPr>
          <w:b/>
        </w:rPr>
        <w:t>E. 11.1</w:t>
      </w:r>
    </w:p>
    <w:p>
      <w:r>
        <w:t>Rispetto all'influenza delle affezioni diagnosticate sulla capacità lavorativa, nella perizia E 213 è riportato un grado d'invalidità generale del 60%. La dott.ssa B._______ ha affermato, da un lato, che la ricorrente è in grado di svolgere regolarmente lavori leggeri, senza controindicazioni, e, dall'altro lato, che l'esercizio di attività adeguate, come pure dell'ultimo lavoro, può avvenire solamente durante due o tre ore al giorno, e ciò nonostante il fatto che i movimenti (forza e tono muscolare) e l'andatura, se si eccettua il rachide diffusamente spinalgico, moderatamente contratturato ed ipomobile antalgicamente di circa un quarto, siano normali.</w:t>
      </w:r>
    </w:p>
    <w:p>
      <w:r>
        <w:rPr>
          <w:b/>
        </w:rPr>
        <w:t>E. 11.2</w:t>
      </w:r>
    </w:p>
    <w:p>
      <w:r>
        <w:t>Dal canto suo, la dott.ssa C._______ ha considerato, nel suo rapporto del 7 marzo 2009, che non sussiste alcuna incapacità lavorativa né per l'attività abituale, e ciò dal 31 dicembre 2007, né per le mansioni domestiche, la sclerodermia essendo circoscritta, non sistemica, e stazionaria da diversi anni, non causante quindi altre patologie ad organi interni, alla muscolatura o alle ossa. Il medico dell'UAIE ha peraltro riconosciuto che la ricorrente rivela delle alterazioni degenerative della colonna vertebrale, compatibili però con l'età e senza deficit senso-motori, i movimenti e l'andatura essendo infatti normali, ed ha qualificato le indicazioni dell'interessata riguardo alle limitazioni di cui soffrirebbe nell'esercizio delle mansioni domestiche (doc. 8), di non attendibili. Questa valutazione del caso è stata confermata a due riprese, nel quadro della presente procedura, pure da un altro medico dell'UAIE, il dott. D._______, mediante rapporti del 6 ottobre e del 18 dicembre 2009, nei quali è osservato che anche la documentazione esibita in sede di ricorso, peraltro in parte già agli atti, non apporta alcun elemento nuovo che possa far presumere un'influenza sulla capacità di lavoro della ricorrente.</w:t>
      </w:r>
    </w:p>
    <w:p>
      <w:r>
        <w:rPr>
          <w:b/>
        </w:rPr>
        <w:t>E. 11.3</w:t>
      </w:r>
    </w:p>
    <w:p>
      <w:r>
        <w:t>Occorre ancora sottolineare che sia il diabete, sia l'ipertensione arteriosa diagnosticati sono trattati farmacologicamente, come menzionato nella perizia E 213, benché il risultato, soprattutto per quanto concerne l'ipertensione arteriosa, non appaia soddisfacente, ciò che ha indotto il dott. D._______, nel suo rapporto del 18 dicembre 2009, ad emettere l'ipotesi che il trattamento sia insufficiente, ma che da esso non se ne può derivare la presenza di limiti funzionali invalidanti. Esprimendosi in merito alla perizia del dott. E._______, esibita con la replica, il medico dell'UAIE ha evidenziato che essa non presenta elementi nuovi, in particolare rispetto alla diagnosi di diabete di tipo 2 non insulino-dipendente, e che la nefropatia cronica riportatavi non appare credibile, nella misura in cui, nella stessa perizia, i valori di creatina risultano essere normali. Egli ha peraltro ribadito, in riferimento al rapporto medico-ambulatoriale del 12 settembre 2008 (doc. 31), menzionato espressamente nella replica, che esso conferma l'assenza di effetti della sclerodermia cutanea sugli organi interni.</w:t>
      </w:r>
    </w:p>
    <w:p>
      <w:r>
        <w:rPr>
          <w:b/>
        </w:rPr>
        <w:t>E. 12.1</w:t>
      </w:r>
    </w:p>
    <w:p>
      <w:r>
        <w:t>Alla luce di queste considerazioni, il collegio giudicante può condividere il parere dei medici dell'UAIE e concludere che la ricorrente sarebbe stata in grado di continuare la sua precedente attività di bracciante agricola o altre attività di sostituzione in maniera completa.</w:t>
      </w:r>
    </w:p>
    <w:p>
      <w:r>
        <w:rPr>
          <w:b/>
        </w:rPr>
        <w:t>E. 12.2</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13</w:t>
      </w:r>
    </w:p>
    <w:p>
      <w:r>
        <w:t>Secondo l'art. 63 cpv. 1 PA, le spese processuali sono di regola messe a carico della parte soccombente. In concreto, visto l'esito della procedura, le spese processuali sono poste a carico della ricorrente e compensate con l'anticipo dello stesso ammontare, versato il 3 luglio 2009.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