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C-372/2007 vom 29. Mai 2009</w:t>
      </w:r>
    </w:p>
    <w:p>
      <w:r>
        <w:t>Bundesverwaltungsgericht, 2009-05-29, FR</w:t>
      </w:r>
    </w:p>
    <w:p>
      <w:r>
        <w:rPr>
          <w:b/>
        </w:rPr>
        <w:t xml:space="preserve">Quelle: </w:t>
      </w:r>
      <w:r>
        <w:t>https://mcp.opencaselaw.ch/entscheid/bvger_C-372_2007</w:t>
      </w:r>
    </w:p>
    <w:p>
      <w:r>
        <w:t>FR: TAF C-372/2007 du 29 mai 2009</w:t>
      </w:r>
    </w:p>
    <w:p>
      <w:r>
        <w:t>IT: TAF C-372/2007 del 29 maggio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et ATF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 (arrêt du Tribunal fédéral I 702/03 du 28 mai 2004 consid. 1 et les références).</w:t>
      </w:r>
    </w:p>
    <w:p>
      <w:r>
        <w:rPr>
          <w:b/>
        </w:rPr>
        <w:t>E. 4.3</w:t>
      </w:r>
    </w:p>
    <w:p>
      <w:r>
        <w:t>La notion d'invalidité, dont il est question à l'art. 8 LPGA et à l'art. 4 LAI est de nature économique/juridique et non médicale établissant une incapacité de gain permanente ou probablement de longue durée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w:t>
      </w:r>
    </w:p>
    <w:p>
      <w:r>
        <w:rPr>
          <w:b/>
        </w:rPr>
        <w:t>E. 5.1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5.5</w:t>
      </w:r>
    </w:p>
    <w:p>
      <w:r>
        <w:t>Par ailleurs, si le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 sont manifestement erronées et que leur rectification revêt une importance notable. Lorsque c'est le juge qui, le premier, constate le caractère sans nul doute erronée de la décision de rente initiale, il peut confirmer, en invoquant ce motif, la décision de révision prise par l'administration en application de l'art. 17 LPGA.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Tribunal fédéral 9C_860/2009 du 19 février 2009 consid. 2.2 et ATF 125 V 368 consid. 2-3 et les arrêts cités).</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114 consid. 5.4 et ATF 125 V 369 consid. 2).</w:t>
      </w:r>
    </w:p>
    <w:p>
      <w:r>
        <w:rPr>
          <w:b/>
        </w:rPr>
        <w:t>E. 6.3</w:t>
      </w:r>
    </w:p>
    <w:p>
      <w:r>
        <w:t>En l'espèce, les status fondant, d'une part, la décision du 15 avril 1997 (confirmée comme étant inchangée le 8 mars 2001) et, d'autre part, le status de l'assuré ayant fondé la décision du 13 décembre 2006 dont est recours sont déterminants pour la discussion du cas.</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2e éd.,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Au demeurant, l'élément déterminant pour la valeur probante n'est ni l'origine du moyen de preuve ni sa désignation comme rapport ou comme expertise, mais bel et bien son contenu (ATF 125 V 351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ATF 118 V 286 consid, 1b).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En outre, un motif de révision au sens de l'art. 17 LPGA (ou de l'ancien art. 41 LAI) doit clairement ressortir du dossier. La réglementation sur la révision ne saurait en effet constituer un fondement juridique à un réexamen sans conditions du droit à la rente (v. arrêts du Tribunal fédéral I 561/05 du 31 mars 2006 consid. 3.4 et 8/04 du 12 octobre 2005 consid. 2.1 et les références citées).</w:t>
      </w:r>
    </w:p>
    <w:p>
      <w:r>
        <w:rPr>
          <w:b/>
        </w:rPr>
        <w:t>E. 9.2</w:t>
      </w:r>
    </w:p>
    <w:p>
      <w:r>
        <w:t>L'intéressé fut mis au bénéfice d'une demi-rente d'invalidité par décision du 15 avril 1997 de l'OAI-GE à compter du 1er août 1995 en raison de lombalgies communes chroniques et de très discrètes protrusions circonférencielles L4-L5. Selon un rapport du COPAI du 28 mars 1996 il fut relevé que l'intéressé ne pouvait travailler qu'à 50% en raison d'une importante fatigue et une baisse de rendement apparaissant en deuxième partie de la journée et qu'une activité à 50% dans la réparation d'appareils électroménagers sans formation supplémentaire pouvait lui permettre d'atteindre un rendement normal. Cette appréciation de status fut reconduite par une communication de l'OAIE du 8 mars 2001.</w:t>
      </w:r>
    </w:p>
    <w:p>
      <w:r>
        <w:rPr>
          <w:b/>
        </w:rPr>
        <w:t>E. 9.3.1</w:t>
      </w:r>
    </w:p>
    <w:p>
      <w:r>
        <w:t>Dans le cadre de la révision du droit à la rente initiée en 2004, il s'est avéré nécessaire d'effectuer une expertise pluridisciplinaire. Celle-ci eut lieu du 28 au 30 juin 2005 (pce 108). Les experts ont posé le diagnostic avec répercussion sur la capacité de travail de discarthrose L4-L5 et d'état anxieux et dépressif mixte léger et, sans répercussion sur la capacité de travail, de trouble somatoforme douloureux. Il s'en est suivi qu'ils ont estimé que l'assuré pouvait, depuis 1994, exercer une activité à plein temps dans une activité adaptée ne nécessitant pas le port de charges de plus de 15 kg et ne nécessitant pas des positions assises et debout prolongées.</w:t>
      </w:r>
    </w:p>
    <w:p>
      <w:r>
        <w:rPr>
          <w:b/>
        </w:rPr>
        <w:t>E. 9.3.1.1</w:t>
      </w:r>
    </w:p>
    <w:p>
      <w:r>
        <w:t>Sur le plan neurologique (pce 108 p. 9), l'expert a retenu que les seules constatations objectives qu'on pouvait retirer de l'examen sont la présence de troubles statiques légers de la colonne dorsolombaire et, possiblement, une neuropathie des nerfs cubitaux aux coudes des deux côtés. Il y aurait une importante discordance entre les plaintes et les constatations objectives. Les symptômes décrits par l'assuré dépasseraient largement les simples lombalgies communes, avec une symptomatologie s'inscrivant tout à fait dans le cadre d'un trouble somatoforme douloureux. Ce caractère démonstratif peut, selon l'avis de l'expert, s'inscrire soit dans un cadre de peurs importantes du recourant par rapport à sa santé, ou alors il s'agirait d'un assuré simulateur. Dans tous les cas, au vu du profil psychologique, avec le caractère revendicateur de l'assuré, des mesures de réadaptation seraient vouées à l'échec.</w:t>
      </w:r>
    </w:p>
    <w:p>
      <w:r>
        <w:rPr>
          <w:b/>
        </w:rPr>
        <w:t>E. 9.3.1.2</w:t>
      </w:r>
    </w:p>
    <w:p>
      <w:r>
        <w:t>D'un point de vue psychiatrique (pce 108 p. 11), selon l'expert, l'assuré présente une sensibilité légèrement anxio-dépressive, raison pour laquelle il répond rapidement à des frustrations insécurisantes de type épisodes de douleurs (présentant des menaces pour son avenir) ou d'autres types de frustrations menaçantes. L'assuré ne présenterait pas une incapacité de travail, mais plutôt une diminution du rendement jusqu'à 50% en raison de l'exacerbation de l'angoisse au moment des crises. Son état peut probablement être amélioré par une prise en charge psychopharmacologique régulière.</w:t>
      </w:r>
    </w:p>
    <w:p>
      <w:r>
        <w:rPr>
          <w:b/>
        </w:rPr>
        <w:t>E. 9.3.1.3</w:t>
      </w:r>
    </w:p>
    <w:p>
      <w:r>
        <w:t>En conclusion (pce 108 p. 12 ss), les experts, après la tenue d'une conférence de consensus, signalent qu'ils se sont trouvés face à un homme en bon état général, s'autolimitant pour toute mobilisation de son rachis lombaire en alléguant le déclenchement de douleurs, mais sans qu'ils puissent trouver des signes cliniques. Par contre, ils ont constaté la présence de plusieurs signes de non organicité. Comme seul signe dégénératif du rachis lombaire, les radiographies laissent apparaître un bec ostéophytaire antérieur au niveau de la vertèbre L5. Ce signe radiologique témoignerait d'un processus dégénératif très localisé. Les experts ont admis qu'il peut être à l'origine des lombalgies qui rendent impossible l'activité de maçon, en raison des sollicitations répétées du rachis. Néanmoins, ils estiment qu'ils ne peuvent expliquer la diminution de la capacité de travail dans une activité légère, ceci d'autant moins qu'il n'y aurait eu aucune évolution entre les clichés tomographiques faits en 1991 et 2002. L'examen clinique aurait été parasité par de nombreuses limitations volontaires et contradictoires avec des signes de non organicité évidents, au point qu'ils estiment devoir poser non seulement le diagnostic de trouble somatoforme douloureux, mais également évoquer une simulation. Cependant, du point de vue psychiatrique, ils ont relevé un trouble anxiodépressif qui, à l'heure actuelle, peut être responsable des nombreux abandons de sa place de travail et qui diminue par moments son rendement. Un traitement anxiolytique devrait amener une amélioration qui permettrait la récupération d'un rendement normal. Les experts on enfin mis en évidence que, depuis le 25 août 1994, il existe une incapacité de travail complète pour l'activité de maçon, qu'aucune activité lourde n'a pu être effectuée depuis lors, que le médecin rhumatologue qui a examiné l'assuré en 2000 attribuait toujours au recourant une incapacité de travail pour toute occupation impliquant une sollicitation de la colonne lombaire, mais que selon eux et leur évaluation actuelle l'intéressé a toujours gardé une capacité de travail entière dans une activité adaptée. Ils estiment enfin qu'il serait probablement adéquat d'introduire une anxiolyse, voire un traitement antidépresseur, pour augmenter le pronostic et améliorer l'état de santé du recourant. Dans un travail adapté, il n'y aurait pas de raison pour que par la suite une capacité de travail totale ne soit exigible (pour l'instant, et sans traitement adéquat, l'anxiété diminuerait par moments la capacité de travail à 50%. Cependant, avec un traitement anxyolitique, cette réduction disparaîtra rapidement à court terme).</w:t>
      </w:r>
    </w:p>
    <w:p>
      <w:r>
        <w:rPr>
          <w:b/>
        </w:rPr>
        <w:t>E. 9.3.2</w:t>
      </w:r>
    </w:p>
    <w:p>
      <w:r>
        <w:t>Au regard de cette appréciation médicale, les constatations de l'autorité inférieure quant à une amélioration notable de l'état de santé de l'assuré apparaissent inexactes. En effet la situation est restée stable du point de vue rhumatologique. La rente ayant été octroyée pour des raisons rhumatologiques, il ne peut y avoir amélioration de l'état de santé sous cet angle, la maladie psychiatrique s'étant ajoutée par la suite. Au demeurant le Dr C.______ de l'OAIE avait d'ailleurs lui-même indiqué, avant l'expertise effectuée, que l'état de santé de l'intéressé ne s'était pas amélioré (pce 79). Il n'y a également pas d'amélioration s'agissant d'une modification de la capacité de travail résiduelle de l'assuré dans une activité adaptée, puisque celui-ci était en mesure déjà le 15 avril 1997 d'exercer une activité adaptée à 50%. Or cette possibilité était également telle au moment du prononcé de la décision litigieuse du 13 décembre 2006, fondée notamment sur l'expertise interdisciplinaire réalisée du 28 au 30 juin 2005 (pce 108 p. 11, 13 et 14), étant précisé que ni un pronostic sur une possible, ou même probable, amélioration future de l'état de santé (psychique) de l'assuré, ni une nouvelle appréciation sur le plan rhumatologique d'un état resté inchangé depuis le 15 avril 1997 (et même depuis le 25 août 1994 selon le rapport d'expertise du 21 septembre 2005; pce 108), peut suffire pour établir à satisfaction de droit une amélioration notable au sens de l'art. 17 LPGA.</w:t>
      </w:r>
    </w:p>
    <w:p>
      <w:r>
        <w:rPr>
          <w:b/>
        </w:rPr>
        <w:t>E. 10</w:t>
      </w:r>
    </w:p>
    <w:p>
      <w:r>
        <w:t>Il reste à determiner si la décision attaquée peut être confirmée pour le motif substitué que les conditions d'une reconsidération de la décision du 15 avril 1997 sont réalisées (consid. 5.5 supra).</w:t>
      </w:r>
    </w:p>
    <w:p>
      <w:r>
        <w:rPr>
          <w:b/>
        </w:rPr>
        <w:t>E. 10.1</w:t>
      </w:r>
    </w:p>
    <w:p>
      <w:r>
        <w:t>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préstation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arrêts du Tribunal fédéral 9C_860/2008 du 19 février 2009 consid. 4.1; 9C_71/2008 du 14 mars 2008 consid. 2 et 9C_575/2007 du 18 octobre 2007 consid. 2.2).</w:t>
      </w:r>
    </w:p>
    <w:p>
      <w:r>
        <w:rPr>
          <w:b/>
        </w:rPr>
        <w:t>E. 10.2</w:t>
      </w:r>
    </w:p>
    <w:p>
      <w:r>
        <w:t>Au vu du résultat de la mesure de réadaptation professionnelle, apprécié au regard des conclusions médicales datant de la même époque, on ne saurait retenir que la décision d'octroi d'une demi-rente prononcée le 15 avril 1997, respectivement la communication de mantien de la demi-rente du 8 mars 2001 (ATF 129 V 110), était manifestement erronée au sens de l'art. 53 al. 2 LPGA. Dans son rapport (pce 25) établi le 26 mars 1996 à la demande de l'administration, le Dr. B._______ avait considéré que le recourant souffrait de lombalgies banales sur troubles statiques et dégénératifs anciens. Ce syndrome douloureux contre-indiquait à son avis toute activité de manutention lourde ou demandant des positions statiques prolongées. Par contre, le Dr. B._______ estimait que compte tenu des ces limites, le recourant "devrait certainement pouvoir exercer une activité, au moins à temps partiel". Il concluait qu'à condition de ne pas exiger d'efforts inappropriés, le pronostic devrait être assez bon, dans ce sens qu'une stabilisation devrait raisonnablement pouvoir être attendue. Peu après, dans le rapport du COPAI du 28 mars 1996 (pce 24 et 26), il est indiqué que du point de vue quantitatif tant les maîtres de réadaptation du COPAI que les responsables du stage d'entreprise considèrent que l'intéressé ne peut pas travailler plus qu'à mi-temps. En effet, les positions qu'il peut adopter compte tenu de son handicap sont fonctionnelles, mais on observe une fatigue importante et une baisse du rendement dans la deuxième moitié de la journée. L'intéressé pourra donc travailler sans formation supplémentaire dans le domaine de la réparation d'appareils électroménagers dans une activité à mi-temps. Il a aussi été signalé que le recourant a également effectué un stage dans le montage de tableaux électriques. Son rendement aurait été évalué à 25%, car il n'est pas formé dans le domaine. Cela étant, la décision du 15 avril 1997 selon laquelle l'assuré présentait une incapacité de travail de 50%, et, en conséquence, un degré d'invalidité de 60% n'était de toute façon pas insoutenable sous l'angle de la reconsidération. En effet, dans la mesure où la tentative de réadaptation apparaît compatible avec les indications médicales datant de la même époque, on ne saurait reprocher aux organes de l'assurance-invalidité d'avoir instruit le dossier de manière incomplète ou alors d'avoir commis à l'origine d'autres erreurs manifestes de droit ou de fait. Cela vaut aussi pour la communication du 8 mars 2001, fondée sur un rapport rhumatologique du 22 mai 2000 (pce 60) demandé par le médecin de l'OAIE (pce 59), et sur un rapport médical de révision d'invalidité du Centre régional de la sécurité sociale de Viseu du 22 mai 2000 (pce 61), lesquels relatent un état stationnaire et une incapacité de travail d'au mois 50%. Certes, l'OAIE a indiqué dans sa fiche concernant la nouvelle comparaison des revenus effectuée le 16 novembre 2005 (pce 115) qu'à l'époque de la décision du 15 avril 1997 l'Office AI de Genève avait retenu un salaire sans invalidité inexact. Toutefois, en retenant le salaire sans invalidité selon les chiffres suggérés par l'OAIE, le taux d'invalidité ainsi calculé ([66'120 - 24'700 x 100] : 66'120 = 62,64%), de surcroît plus favorable au recourant, aurait conduit au même résultat pour ce qui a trait à la rente qui devait être accordée à celui-ci (demi-rente jusqu'au 31 décembre 2003 et puis trois quarts de rente à partir du 1er janvier 2004). On n'est donc de toute façon pas en présence d'une erreur dont la rectification revêt une importance notable au sens de l'art. 53 al. 2 LPGA (cf. arrêt du Tribunal fédéral dans la cause U 378/05 du 10 mai 2006 consid. 5.3 et références).</w:t>
      </w:r>
    </w:p>
    <w:p>
      <w:r>
        <w:rPr>
          <w:b/>
        </w:rPr>
        <w:t>E. 10.3</w:t>
      </w:r>
    </w:p>
    <w:p>
      <w:r>
        <w:t>Il résulte de ce qui précède que la décision du 13 décembre 2006 de suppression du droit à la rente ne peut pas non plus être confirmée au motif substitué que l'octroi, respectivement la confirmation de la rente, était manifestement erroné.</w:t>
      </w:r>
    </w:p>
    <w:p>
      <w:r>
        <w:rPr>
          <w:b/>
        </w:rPr>
        <w:t>E. 11</w:t>
      </w:r>
    </w:p>
    <w:p>
      <w:r>
        <w:t>En conséquence, le recours se révèle bien fondé et la décision attaquée doit être réformée dans le sens qu'à partir du 1er février 2007 est rétabli le droit en faveur du recourant à trois quarts de rente (conformément à la décision de l'OAIE du 29 mars 2006). Certes, le recourant a aussi fait valoir au stade du recours une aggravation de son état de santé. Toutefois, comme relevé à juste titre par la Dresse H.______ dans sa prise de position du 24 juillet 2007 (cf. dans le même sens aussi le rapport du Dr C.______ du 19 novembre 2006, le rapport d'expertise interdisciplinaire du 21 septembre 2005 et le rapport du I._______ du 22 février 2001 [pce 62]), il ne ressort pas des actes de la cause des rapports médicaux qui rendraient plausible une aggravation significative et durable de l'état de santé du recourant, ceci depuis le 15 avril 1997 jusqu'à la date de la décision attaquée.</w:t>
      </w:r>
    </w:p>
    <w:p>
      <w:r>
        <w:rPr>
          <w:b/>
        </w:rPr>
        <w:t>E. 12.1</w:t>
      </w:r>
    </w:p>
    <w:p>
      <w:r>
        <w:t>Vu l'issue de la cause, il n'est pas perçu de frais de procédure et l'avance de frais de Fr. 300.- effectuée par le recourant lui est restituée.</w:t>
      </w:r>
    </w:p>
    <w:p>
      <w:r>
        <w:rPr>
          <w:b/>
        </w:rPr>
        <w:t>E. 12.2</w:t>
      </w:r>
    </w:p>
    <w:p>
      <w:r>
        <w:t>Le recourant ayant agi sans s'être fait représenter et n'ayant dû supporter de frais indispensables relativement élevés (cf. l'art. 64 al. 1 PA et art. 7 ss du règlement du 21 février 2008 concernant les frais, dépens et indemnités fixés par le Tribunal administratif fédéral [FITAF, RS 173.320.2]), il n'est pas alloué de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