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C-3725/2009 vom 29. Juni 2011</w:t>
      </w:r>
    </w:p>
    <w:p>
      <w:r>
        <w:t>Bundesverwaltungsgericht, 2011-06-29, DE</w:t>
      </w:r>
    </w:p>
    <w:p>
      <w:r>
        <w:rPr>
          <w:b/>
        </w:rPr>
        <w:t xml:space="preserve">Quelle: </w:t>
      </w:r>
      <w:r>
        <w:t>https://mcp.opencaselaw.ch/entscheid/bvger_C-3725_2009</w:t>
      </w:r>
    </w:p>
    <w:p>
      <w:r>
        <w:t>FR: TAF C-3725/2009 du 29 juin 2011</w:t>
      </w:r>
    </w:p>
    <w:p>
      <w:r>
        <w:t>IT: TAF C-3725/2009 del 29 giugno 2011</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Der Beschwerdeführer ist deutscher Staatsangehöriger, sodass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ausschliesslich nach dem inner­staatlichen schweizerischen Recht, insbesondere nach dem IVG, der Ver­ordnung über die Invali­denversicherung vom 17. Januar 1961 (IVV, SR 832.201), dem ATSG sowie der Verordnung vom 11. September 2002 über den Allgemeinen Teil des Sozialversicherungsrechts (ATSV, SR 830.11).</w:t>
      </w:r>
    </w:p>
    <w:p>
      <w:r>
        <w:rPr>
          <w:b/>
        </w:rPr>
        <w:t>E. 2.3</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2.4</w:t>
      </w:r>
    </w:p>
    <w:p>
      <w:r>
        <w:t>Nach der Rechtsprechung stellt das Sozialversicherungsgericht bei der Beurteilung einer Streitsache in der Regel auf den bis zum Zeitpunkt des Erlasses der streitigen Verwaltungsverfügung (hier: 4. August 2009) eingetretenen Sachverhalt ab (BGE 129 V 1 E. 1.2 mit Hin­weis). In materiell-rechtlicher Hinsicht ist auf jene Be­stimmungen des IVG und der IVV respektive des ATSG und der ATSV abzustellen, die für die Beur­tei­lung eines Rentenanspruchs jeweils relevant waren und in Kraft stan­den. Da vorliegend der Rentenanspruch ab 1. Juli 2009 strittig ist, ist vorliegend auf die Fassung gemäss den am 1. Januar 2008 in Kraft getretenen Änderungen (5. IV-Revision; AS 2007 5129 und AS 2007 5155) abzustellen. Im Fol­genden wird - ohne anderslautende Hin­weise - jeweils auf diese Fassung Bezug ge­nommen.</w:t>
      </w:r>
    </w:p>
    <w:p>
      <w:r>
        <w:rPr>
          <w:b/>
        </w:rPr>
        <w:t>E. 2.5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Gemäss Art. 17 Abs. 1 ATSG wird eine Rente von Amtes wegen oder auf Gesuch hin für die Zukunft entsprechend erhöht, herab­gesetzt oder aufgehoben, wenn sich der Invaliditätsgrad des Renten­bezügers erheblich verändert hat.</w:t>
      </w:r>
    </w:p>
    <w:p>
      <w:r>
        <w:rPr>
          <w:b/>
        </w:rPr>
        <w:t>E. 3.1.1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w:t>
      </w:r>
    </w:p>
    <w:p>
      <w:r>
        <w:rPr>
          <w:b/>
        </w:rPr>
        <w:t>E. 3.1.2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Vorliegend ist somit der Sachverhalt im Zeitpunkt der ursprünglichen Rentenverfügung vom 26. Juli 2006 mit dem Sachverhalt im Zeitpunkt der Revisionsverfügung vom 4. Mai 2009 zu vergleichen.</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Staaten der EU jedoch der Fall ist.</w:t>
      </w:r>
    </w:p>
    <w:p>
      <w:r>
        <w:rPr>
          <w:b/>
        </w:rPr>
        <w:t>E. 4</w:t>
      </w:r>
    </w:p>
    <w:p>
      <w:r>
        <w:t>Nachfolgend ist zu prüfen, ob die IVSTA zu Recht das Vorliegen eines Revisionsgrundes beim Beschwerdeführer bejaht und gestützt darauf seine ganze Rente mit Wirkung ab 1. Juli 2009 auf eine halbe Rente herabgesetzt hat.</w:t>
      </w:r>
    </w:p>
    <w:p>
      <w:r>
        <w:rPr>
          <w:b/>
        </w:rPr>
        <w:t>E. 4.1.1</w:t>
      </w:r>
    </w:p>
    <w:p>
      <w:r>
        <w:t>Im Rahmen der vorliegend als Vergleichsbasis dienenden Verfügung vom 26. Juli 2006 stellten die untersuchenden Ärzte fest, der Beschwerdeführer sei insbesondere durch die chronische venöse Insuffizienz des linken Beines und der daraus resultierenden Unterschenkelödeme sowie aufgrund der kompliziert verlaufenen Kniegelenksverletzung rechts mit Status nach Logensyndrom und seitheriger Schwellungsneigung nicht mehr geeignet, Tätigkeiten auszuüben, bei welchen er lange stehen müsse. Ferner wurde eine dilatative Kardiomyopathie unklarer Ätiologie mit/bei LVEF (=linksventrikuläre Auswurffraktion) aktuell bei 30%, rezidivierendem linksseitigem Pleuraerguss, DD alkoholtoxisch, festgestellt, welche gemäss dem Verlaufsbericht von Dr. med. B._______ vom 13. Mai 2005 und der Stellungnahme des RAD vom 20. Mai 2005 ebenfalls erheblichen Einfluss auf die Arbeitsfähigkeit habe. Der Stellungnahme des RAD ist daher zu entnehmen, die Arbeitsfähigkeit liege auch in angepassten Tätigkeiten bei lediglich 30%, wobei die Einschränkung insbesondere auf die dilatative Kardiomyopathie zurückzuführen sei.</w:t>
      </w:r>
    </w:p>
    <w:p>
      <w:r>
        <w:rPr>
          <w:b/>
        </w:rPr>
        <w:t>E. 4.1.2</w:t>
      </w:r>
    </w:p>
    <w:p>
      <w:r>
        <w:t>Anlässlich des im Jahr 2008 eingeleiteten Revisionsverfahrens erfolgte eine Abklärung bei Dr. med. G._______, Facharzt für Innere Medizin und Kardiologie. Dieser diagnostizierte in seinem Bericht vom 15. Oktober 2008 (IV-act. 88) die vorbekannte Kardiomyopathie mit normalisierter Ventrikelfunktion (zufriedenstellende globale Kontraktilität [EF 60%] ohne regionale Wandbewegungsstörung, geringgradige Sklerose der Aortentaschen, keine Dilatation des linken Vorhofes, keine Erweiterung der Rechtsherzabschnitte, keine Pleuraergüsse und regelrechte Flussverhältnisse über Mitral-, Aorten- und Trikuspidalklappe), ein Alkohol- und Nikotinabusus, eine vorbekannte Hepatopathie, ein Zustand nach einem blutenden Ulcus ventriculi, ein Zustand nach rezidivierenden tiefen Beinvenenthrombosen und eine chronisch venöse Insuffizienz der Beine. Die ergometrisch festgestellte starke Einschränkung der Belastbarkeit sei wohl im Zusammenhang mit schlecht eingestellter arterieller Hypertonie, Nikotin- und Alkoholabusus und Konditionsmangel zu sehen. Hinweise auf eine manifeste organische Herzerkrankung seien keine auszumachen. Gestützt auf diese Abklärungen hat Dr. med. H._______ des RAD festgestellt, der Zustand des Beschwerdeführers habe sich aus kardiologischer Sicht wesentlich verbessert, da die Ventrikelfunktion mit LVEF 60% wieder normal sei. Die Veneninsuffizienz und die daraus folgenden Probleme mit den Beinen sowie auch eine allgemeine Dekonditionierung aufgrund des übermässigen Alkohol- und Niktotinkonsums bestünden dagegen immer noch.</w:t>
      </w:r>
    </w:p>
    <w:p>
      <w:r>
        <w:rPr>
          <w:b/>
        </w:rPr>
        <w:t>E. 4.1.3</w:t>
      </w:r>
    </w:p>
    <w:p>
      <w:r>
        <w:t>Zusammenfassend ist somit festzuhalten, dass die beurteilenden Ärzte davon ausgingen, der Zustand des Beschwerdeführers habe sich insgesamt verbessert, da die vorbekannte und wesentlich beeinträchtigende Kardiomyopathie nicht mehr bestehe. Diese Schlussfolgerung traf der untersuchende Kardiologe nach Durchführung eines Ruhe-EKGs, einer diagnostischen Ergometrie auf dem Halbliegeergometer sowie einer 2D/Farbdoppler-Echokardiographie. Der untersuchende Arzt und der RAD legten gestützt auf die Untersuchungsergebnisse nachvollziehbar dar, dass sich der Gesundheitszustand des Beschwerdeführers zufolge der von 30% auf 60% gesteigerten LVEF wesentlich verändert habe, das ist nicht zu beanstanden.</w:t>
      </w:r>
    </w:p>
    <w:p>
      <w:r>
        <w:rPr>
          <w:b/>
        </w:rPr>
        <w:t>E. 4.2</w:t>
      </w:r>
    </w:p>
    <w:p>
      <w:r>
        <w:t>Zu prüfen bleibt somit, ob und inwiefern die festgestellte Verbesserung des Gesundheitszustandes einen Einfluss auf die Arbeitsfähigkeit hat. Dr. med. H._______ stellte in seinem Schlussbericht vom 17. De­zember 2008 fest, die Situation präsentiere sich in Bezug auf die vorhandenen Gesundheitsbeeinträchtigungen und die Arbeitsfähigkeit wieder gleich wie bereits anlässlich der Untersuchung von Dr. med. D._______ am 3. Dezember 2004. Dieser stellte damals fest, in der bisherigen Tätigkeit als Werkzeugschärfer sei der Beschwerdeführer lediglich zu 30% arbeitsfähig, da das lange Stehen die Entstehung von Stauungen in den Beinen fördere und Beinödeme verursache. In leichteren, wechselbelastenden Tätigkeiten mit Heben von maximal 8kg und ohne längeres Stehen sei er anfänglich zu 70% und später bis zu 100% arbeitsfähig. Dr. med. G._______ attestierte dem Beschwerdeführer in seiner Beurteilung vom 15. Oktober 2008, dieser sei wohl nicht mehr fähig, körperliche Tätigkeiten während länger als zwei Stunden auszuüben; er erachte weitere Begutachtungen in neurologischer, orthopädischer, gastro­entero­logischer und angiologischer Hinsicht für sinnvoll. Ferner gab er im Anlageblatt zu seinem Bericht an, der Beschwerdeführer könne keine Arbeiten mehr auf dem allgemeinen Arbeitsmarkt verrichten und die zeitliche Belastbarkeit des Beschwerdeführers liege bei unter drei Stunden. In Bezug auf die Beurteilung von Dr. med. H._______ ist festzuhalten, dass es zwar zutrifft, dass im Revisionszeitpunkt im Wesentlichen dieselben Beeinträchtigungen festgestellt wurden wie im Dezember 2004, dass es aber nicht zulässig ist, daraus zu schliessen, die Arbeitsfähigkeit sei deshalb ebenfalls gleich zu beurteilen, zumal alleine aufgrund einer Diagnose nicht auf die Arbeitsfähigkeit geschlossen werden kann. Zudem ist darauf hinzuweisen, dass es sich beim Bericht vom Dezember 2004 um einen älteren Bericht handelt, welcher als Grundlage für die Beurteilung der aktuellen Arbeitsfähigkeit ohnehin nicht geeignet ist. Was die Einschätzung von Dr. med. G._______ anbelangt, ist festzustellen, dass seine Angaben betreffend Arbeitsfähigkeit eher vage wenn nicht gar widersprüchlich sind, wenn er angibt, der Beschwerdeführer könne keine Arbeiten mehr verrichten und gleichzeitig die Belastbarkeit auf "unter drei Stunden" beziffert (vgl. Anlageblatt zum Bericht) und er zudem darauf hinweist, dass weitere Abklärungen in neurologischer, orthopädischer, gastro­enterologischer und angiologischer Hinsicht notwendig seien. Insgesamt ist es deshalb aufgrund der vorliegenden Unterlagen nicht möglich, die Einschränkung der Erwerbsfähigkeit des Beschwerdeführers abschliessend zu beurteilen. Eine rechtskonforme Beurteilung des Leistungsanspruchs ist daher nicht möglich. Die Beschwerde ist somit teilweise gutzuheissen und die angefochtene Verfügung ist aufzuheben. Die Sache ist an die IVSTA zurückzuweisen, damit diese den Sachverhalt in neurologischer, orthopädischer, gastro­enterologischer und angiologischer Hinsicht abkläre und die Einschränkung der Erwerbsfähigkeit des Beschwerdeführers ermittle und den Invaliditätsgrad festlege.</w:t>
      </w:r>
    </w:p>
    <w:p>
      <w:r>
        <w:rPr>
          <w:b/>
        </w:rPr>
        <w:t>E. 5.1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Verfahrenskosen aufzuerlegen. Der vom Beschwerdeführer geleistete Kostenvorschuss in der Höhe von Fr. 400.-- ist ihm nach Eintritt der Rechtskraft des vorliegenden Entscheids auf ein von ihm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Beschwerdeführer war vorliegend nicht vertreten, daher sind ihm nur verhältnismässig geringe Kosten erwachsen. Im Übrigen hat der Beschwerdeführer ohnehin keinen Antrag auf Parteientschädigung gestellt, weshalb auf Zusprechung einer solchen zu verzichten ist.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